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5D271">
      <w:pPr>
        <w:pStyle w:val="91"/>
        <w:tabs>
          <w:tab w:val="right" w:pos="9639"/>
        </w:tabs>
        <w:spacing w:after="0"/>
        <w:rPr>
          <w:rFonts w:cs="Arial"/>
          <w:b/>
          <w:i/>
          <w:sz w:val="28"/>
        </w:rPr>
      </w:pPr>
      <w:r>
        <w:rPr>
          <w:rFonts w:cs="Arial"/>
          <w:b/>
          <w:sz w:val="24"/>
        </w:rPr>
        <w:t>3GPP TSG-</w:t>
      </w:r>
      <w:r>
        <w:rPr>
          <w:rFonts w:cs="Arial"/>
        </w:rPr>
        <w:fldChar w:fldCharType="begin"/>
      </w:r>
      <w:r>
        <w:rPr>
          <w:rFonts w:cs="Arial"/>
        </w:rPr>
        <w:instrText xml:space="preserve"> DOCPROPERTY  TSG/WGRef  \* MERGEFORMAT </w:instrText>
      </w:r>
      <w:r>
        <w:rPr>
          <w:rFonts w:cs="Arial"/>
        </w:rPr>
        <w:fldChar w:fldCharType="separate"/>
      </w:r>
      <w:r>
        <w:rPr>
          <w:rFonts w:cs="Arial"/>
          <w:b/>
          <w:sz w:val="24"/>
        </w:rPr>
        <w:t>RAN3</w:t>
      </w:r>
      <w:r>
        <w:rPr>
          <w:rFonts w:cs="Arial"/>
          <w:b/>
          <w:sz w:val="24"/>
        </w:rPr>
        <w:fldChar w:fldCharType="end"/>
      </w:r>
      <w:r>
        <w:rPr>
          <w:rFonts w:cs="Arial"/>
          <w:b/>
          <w:sz w:val="24"/>
        </w:rPr>
        <w:t xml:space="preserve"> Meeting #</w:t>
      </w:r>
      <w:r>
        <w:rPr>
          <w:rFonts w:cs="Arial"/>
        </w:rPr>
        <w:fldChar w:fldCharType="begin"/>
      </w:r>
      <w:r>
        <w:rPr>
          <w:rFonts w:cs="Arial"/>
        </w:rPr>
        <w:instrText xml:space="preserve"> DOCPROPERTY  MtgSeq  \* MERGEFORMAT </w:instrText>
      </w:r>
      <w:r>
        <w:rPr>
          <w:rFonts w:cs="Arial"/>
        </w:rPr>
        <w:fldChar w:fldCharType="separate"/>
      </w:r>
      <w:r>
        <w:rPr>
          <w:rFonts w:cs="Arial"/>
          <w:b/>
          <w:sz w:val="24"/>
        </w:rPr>
        <w:t>128</w:t>
      </w:r>
      <w:r>
        <w:rPr>
          <w:rFonts w:cs="Arial"/>
          <w:b/>
          <w:sz w:val="24"/>
        </w:rPr>
        <w:fldChar w:fldCharType="end"/>
      </w:r>
      <w:r>
        <w:rPr>
          <w:rFonts w:cs="Arial"/>
        </w:rPr>
        <w:fldChar w:fldCharType="begin"/>
      </w:r>
      <w:r>
        <w:rPr>
          <w:rFonts w:cs="Arial"/>
        </w:rPr>
        <w:instrText xml:space="preserve"> DOCPROPERTY  MtgTitle  \* MERGEFORMAT </w:instrText>
      </w:r>
      <w:r>
        <w:rPr>
          <w:rFonts w:cs="Arial"/>
        </w:rPr>
        <w:fldChar w:fldCharType="separate"/>
      </w:r>
      <w:r>
        <w:rPr>
          <w:rFonts w:cs="Arial"/>
        </w:rPr>
        <w:fldChar w:fldCharType="end"/>
      </w:r>
      <w:r>
        <w:rPr>
          <w:rFonts w:cs="Arial"/>
          <w:b/>
          <w:i/>
          <w:sz w:val="28"/>
        </w:rPr>
        <w:tab/>
      </w:r>
      <w:r>
        <w:rPr>
          <w:rFonts w:hint="eastAsia" w:cs="Arial"/>
          <w:b/>
          <w:i/>
          <w:sz w:val="28"/>
        </w:rPr>
        <w:t>R3-253380</w:t>
      </w:r>
    </w:p>
    <w:p w14:paraId="09B715F7">
      <w:pPr>
        <w:pStyle w:val="91"/>
        <w:outlineLvl w:val="0"/>
        <w:rPr>
          <w:rFonts w:cs="Arial"/>
          <w:b/>
          <w:sz w:val="24"/>
        </w:rPr>
      </w:pPr>
      <w:r>
        <w:rPr>
          <w:rFonts w:cs="Arial"/>
        </w:rPr>
        <w:fldChar w:fldCharType="begin"/>
      </w:r>
      <w:r>
        <w:rPr>
          <w:rFonts w:cs="Arial"/>
        </w:rPr>
        <w:instrText xml:space="preserve"> DOCPROPERTY  Location  \* MERGEFORMAT </w:instrText>
      </w:r>
      <w:r>
        <w:rPr>
          <w:rFonts w:cs="Arial"/>
        </w:rPr>
        <w:fldChar w:fldCharType="separate"/>
      </w:r>
      <w:r>
        <w:rPr>
          <w:rFonts w:cs="Arial"/>
          <w:b/>
          <w:sz w:val="24"/>
        </w:rPr>
        <w:t>Malta</w:t>
      </w:r>
      <w:r>
        <w:rPr>
          <w:rFonts w:cs="Arial"/>
          <w:b/>
          <w:sz w:val="24"/>
        </w:rPr>
        <w:fldChar w:fldCharType="end"/>
      </w:r>
      <w:r>
        <w:rPr>
          <w:rFonts w:cs="Arial"/>
          <w:b/>
          <w:sz w:val="24"/>
        </w:rPr>
        <w:t xml:space="preserve">, </w:t>
      </w:r>
      <w:r>
        <w:rPr>
          <w:rFonts w:cs="Arial"/>
        </w:rPr>
        <w:fldChar w:fldCharType="begin"/>
      </w:r>
      <w:r>
        <w:rPr>
          <w:rFonts w:cs="Arial"/>
        </w:rPr>
        <w:instrText xml:space="preserve"> DOCPROPERTY  Country  \* MERGEFORMAT </w:instrText>
      </w:r>
      <w:r>
        <w:rPr>
          <w:rFonts w:cs="Arial"/>
        </w:rPr>
        <w:fldChar w:fldCharType="separate"/>
      </w:r>
      <w:r>
        <w:rPr>
          <w:rFonts w:cs="Arial"/>
          <w:b/>
          <w:sz w:val="24"/>
        </w:rPr>
        <w:t>Malta</w:t>
      </w:r>
      <w:r>
        <w:rPr>
          <w:rFonts w:cs="Arial"/>
          <w:b/>
          <w:sz w:val="24"/>
        </w:rPr>
        <w:fldChar w:fldCharType="end"/>
      </w:r>
      <w:r>
        <w:rPr>
          <w:rFonts w:cs="Arial"/>
          <w:b/>
          <w:sz w:val="24"/>
        </w:rPr>
        <w:t xml:space="preserve">, </w:t>
      </w:r>
      <w:r>
        <w:rPr>
          <w:rFonts w:cs="Arial"/>
        </w:rPr>
        <w:fldChar w:fldCharType="begin"/>
      </w:r>
      <w:r>
        <w:rPr>
          <w:rFonts w:cs="Arial"/>
        </w:rPr>
        <w:instrText xml:space="preserve"> DOCPROPERTY  StartDate  \* MERGEFORMAT </w:instrText>
      </w:r>
      <w:r>
        <w:rPr>
          <w:rFonts w:cs="Arial"/>
        </w:rPr>
        <w:fldChar w:fldCharType="separate"/>
      </w:r>
      <w:r>
        <w:rPr>
          <w:rFonts w:cs="Arial"/>
          <w:b/>
          <w:sz w:val="24"/>
        </w:rPr>
        <w:t>19th May 2025</w:t>
      </w:r>
      <w:r>
        <w:rPr>
          <w:rFonts w:cs="Arial"/>
          <w:b/>
          <w:sz w:val="24"/>
        </w:rPr>
        <w:fldChar w:fldCharType="end"/>
      </w:r>
      <w:r>
        <w:rPr>
          <w:rFonts w:cs="Arial"/>
          <w:b/>
          <w:sz w:val="24"/>
        </w:rPr>
        <w:t xml:space="preserve"> - </w:t>
      </w:r>
      <w:r>
        <w:rPr>
          <w:rFonts w:cs="Arial"/>
        </w:rPr>
        <w:fldChar w:fldCharType="begin"/>
      </w:r>
      <w:r>
        <w:rPr>
          <w:rFonts w:cs="Arial"/>
        </w:rPr>
        <w:instrText xml:space="preserve"> DOCPROPERTY  EndDate  \* MERGEFORMAT </w:instrText>
      </w:r>
      <w:r>
        <w:rPr>
          <w:rFonts w:cs="Arial"/>
        </w:rPr>
        <w:fldChar w:fldCharType="separate"/>
      </w:r>
      <w:r>
        <w:rPr>
          <w:rFonts w:cs="Arial"/>
          <w:b/>
          <w:sz w:val="24"/>
        </w:rPr>
        <w:t>23rd May 2025</w:t>
      </w:r>
      <w:r>
        <w:rPr>
          <w:rFonts w:cs="Arial"/>
          <w:b/>
          <w:sz w:val="24"/>
        </w:rPr>
        <w:fldChar w:fldCharType="end"/>
      </w:r>
    </w:p>
    <w:p w14:paraId="4FD26132">
      <w:pPr>
        <w:pStyle w:val="36"/>
        <w:rPr>
          <w:rFonts w:ascii="Times New Roman" w:hAnsi="Times New Roman"/>
          <w:bCs/>
          <w:sz w:val="24"/>
        </w:rPr>
      </w:pPr>
    </w:p>
    <w:p w14:paraId="54E7AB68">
      <w:pPr>
        <w:pStyle w:val="91"/>
        <w:tabs>
          <w:tab w:val="left" w:pos="1985"/>
        </w:tabs>
        <w:rPr>
          <w:rFonts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20</w:t>
      </w:r>
      <w:r>
        <w:rPr>
          <w:rFonts w:cs="Arial"/>
          <w:b/>
          <w:bCs/>
          <w:sz w:val="24"/>
          <w:lang w:val="en-US" w:eastAsia="ja-JP"/>
        </w:rPr>
        <w:t>.</w:t>
      </w:r>
      <w:r>
        <w:rPr>
          <w:rFonts w:hint="eastAsia" w:eastAsia="宋体" w:cs="Arial"/>
          <w:b/>
          <w:bCs/>
          <w:sz w:val="24"/>
          <w:lang w:val="en-US" w:eastAsia="zh-CN"/>
        </w:rPr>
        <w:t>2</w:t>
      </w:r>
    </w:p>
    <w:p w14:paraId="56A7925E">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 xml:space="preserve">Xiaomi, </w:t>
      </w:r>
      <w:r>
        <w:rPr>
          <w:rFonts w:hint="eastAsia" w:ascii="Arial" w:hAnsi="Arial" w:cs="Arial"/>
          <w:b/>
          <w:bCs/>
          <w:sz w:val="24"/>
        </w:rPr>
        <w:t>MediaTek</w:t>
      </w:r>
      <w:r>
        <w:rPr>
          <w:rFonts w:hint="eastAsia" w:ascii="Arial" w:hAnsi="Arial" w:cs="Arial"/>
          <w:b/>
          <w:bCs/>
          <w:sz w:val="24"/>
          <w:lang w:eastAsia="zh-CN"/>
        </w:rPr>
        <w:t>,</w:t>
      </w:r>
      <w:r>
        <w:t xml:space="preserve"> </w:t>
      </w:r>
      <w:r>
        <w:rPr>
          <w:rFonts w:ascii="Arial" w:hAnsi="Arial" w:cs="Arial"/>
          <w:b/>
          <w:bCs/>
          <w:sz w:val="24"/>
          <w:lang w:eastAsia="zh-CN"/>
        </w:rPr>
        <w:t>Qualcomm Incorporated, Huawei,</w:t>
      </w:r>
      <w:r>
        <w:rPr>
          <w:rFonts w:hint="eastAsia" w:ascii="Arial" w:hAnsi="Arial" w:cs="Arial"/>
          <w:b/>
          <w:bCs/>
          <w:sz w:val="24"/>
          <w:lang w:val="en-US" w:eastAsia="zh-CN"/>
        </w:rPr>
        <w:t xml:space="preserve"> Apple, China Mobile</w:t>
      </w:r>
      <w:r>
        <w:rPr>
          <w:rFonts w:ascii="Arial" w:hAnsi="Arial" w:cs="Arial"/>
          <w:b/>
          <w:bCs/>
          <w:sz w:val="24"/>
          <w:lang w:eastAsia="zh-CN"/>
        </w:rPr>
        <w:t xml:space="preserve"> </w:t>
      </w:r>
    </w:p>
    <w:p w14:paraId="75A6F4F7">
      <w:pPr>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0" w:name="_Hlk197548581"/>
      <w:r>
        <w:rPr>
          <w:rFonts w:ascii="Arial" w:hAnsi="Arial" w:cs="Arial"/>
          <w:b/>
          <w:bCs/>
          <w:sz w:val="24"/>
        </w:rPr>
        <w:t>(Draft LS out) Reply LS on signalling feasibility of dataset and parameter sharing</w:t>
      </w:r>
      <w:bookmarkEnd w:id="0"/>
    </w:p>
    <w:p w14:paraId="2110994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14D3E6EC">
      <w:pPr>
        <w:pStyle w:val="2"/>
        <w:rPr>
          <w:rFonts w:cs="Arial"/>
        </w:rPr>
      </w:pPr>
      <w:r>
        <w:rPr>
          <w:rFonts w:cs="Arial"/>
        </w:rPr>
        <w:t>1</w:t>
      </w:r>
      <w:r>
        <w:rPr>
          <w:rFonts w:cs="Arial"/>
        </w:rPr>
        <w:tab/>
      </w:r>
      <w:r>
        <w:rPr>
          <w:rFonts w:cs="Arial"/>
        </w:rPr>
        <w:t>Introduction</w:t>
      </w:r>
    </w:p>
    <w:p w14:paraId="204EA7D4">
      <w:pPr>
        <w:keepNext/>
        <w:rPr>
          <w:rFonts w:eastAsiaTheme="minorEastAsia"/>
          <w:lang w:val="en-US" w:eastAsia="zh-CN"/>
        </w:rPr>
      </w:pPr>
      <w:r>
        <w:rPr>
          <w:rFonts w:eastAsiaTheme="minorEastAsia"/>
          <w:lang w:eastAsia="zh-CN"/>
        </w:rPr>
        <w:t xml:space="preserve">In Rel-19, two-sided AI/ML CSI compression for AI/ML Air Interface is under study, during RAN1 discussions, the sharing of model parameters and/or datasets from the network side to the UE or UE-side via standardized signaling was considered. RAN1 requested feedback from RAN2 on the feasibility of standardized signaling (over-the-air and/or other approaches) for the network side to share model parameters and/or datasets with the UE or UE-side. </w:t>
      </w:r>
    </w:p>
    <w:p w14:paraId="04893D6C">
      <w:pPr>
        <w:keepNext/>
        <w:rPr>
          <w:rFonts w:eastAsiaTheme="minorEastAsia"/>
          <w:lang w:val="en-US" w:eastAsia="zh-CN"/>
        </w:rPr>
      </w:pPr>
      <w:r>
        <w:rPr>
          <w:rFonts w:eastAsiaTheme="minorEastAsia"/>
          <w:lang w:val="en-US" w:eastAsia="zh-CN"/>
        </w:rPr>
        <w:t>In [2], RAN2 provided some high-level principles and potential solutions to support the network side's sharing of model parameters and/or datasets with the UE or UE-side. These solutions include OTA (over-the-air) solutions and non-OTA solutions. Before provid</w:t>
      </w:r>
      <w:r>
        <w:rPr>
          <w:rFonts w:hint="eastAsia" w:eastAsiaTheme="minorEastAsia"/>
          <w:lang w:val="en-US" w:eastAsia="zh-CN"/>
        </w:rPr>
        <w:t>ing</w:t>
      </w:r>
      <w:r>
        <w:rPr>
          <w:rFonts w:eastAsiaTheme="minorEastAsia"/>
          <w:lang w:val="en-US" w:eastAsia="zh-CN"/>
        </w:rPr>
        <w:t xml:space="preserve"> the final answer to RAN1, RAN2 needs the confirmation from RAN3/SA2/SA5 regarding the assumptions on non-OTA solutions.</w:t>
      </w:r>
    </w:p>
    <w:p w14:paraId="2005FDB3">
      <w:pPr>
        <w:keepNext/>
        <w:rPr>
          <w:rFonts w:eastAsiaTheme="minorEastAsia"/>
          <w:lang w:eastAsia="zh-CN"/>
        </w:rPr>
      </w:pPr>
      <w:r>
        <w:rPr>
          <w:rFonts w:eastAsiaTheme="minorEastAsia"/>
          <w:lang w:val="en-US" w:eastAsia="zh-CN"/>
        </w:rPr>
        <w:t>In this paper, we aim to discuss the feasibility of non-OTA solutions from the RAN3 perspective and provide a draft LS reply in the Annex.</w:t>
      </w:r>
    </w:p>
    <w:p w14:paraId="20E28EFA">
      <w:pPr>
        <w:pStyle w:val="2"/>
        <w:rPr>
          <w:rFonts w:cs="Arial"/>
        </w:rPr>
      </w:pPr>
      <w:r>
        <w:rPr>
          <w:rFonts w:cs="Arial"/>
        </w:rPr>
        <w:t>2</w:t>
      </w:r>
      <w:r>
        <w:rPr>
          <w:rFonts w:cs="Arial"/>
        </w:rPr>
        <w:tab/>
      </w:r>
      <w:r>
        <w:rPr>
          <w:rFonts w:cs="Arial"/>
        </w:rPr>
        <w:t>Discussion</w:t>
      </w:r>
    </w:p>
    <w:p w14:paraId="2E93C338">
      <w:pPr>
        <w:outlineLvl w:val="1"/>
        <w:rPr>
          <w:b/>
          <w:bCs/>
          <w:u w:val="single"/>
          <w:lang w:eastAsia="zh-CN"/>
        </w:rPr>
      </w:pPr>
      <w:r>
        <w:rPr>
          <w:b/>
          <w:bCs/>
          <w:u w:val="single"/>
          <w:lang w:eastAsia="zh-CN"/>
        </w:rPr>
        <w:t>RAN3 discussion scope</w:t>
      </w:r>
    </w:p>
    <w:p w14:paraId="75B5103C">
      <w:pPr>
        <w:rPr>
          <w:lang w:eastAsia="zh-CN"/>
        </w:rPr>
      </w:pPr>
      <w:r>
        <w:rPr>
          <w:lang w:eastAsia="zh-CN"/>
        </w:rPr>
        <w:t>Based on RAN2’s analysis in [2] below, the third option in the non-OTA approaches</w:t>
      </w:r>
      <w:r>
        <w:rPr>
          <w:rFonts w:hint="eastAsia"/>
          <w:lang w:val="en-US" w:eastAsia="zh-CN"/>
        </w:rPr>
        <w:t xml:space="preserve"> has RAN3 impacts</w:t>
      </w:r>
      <w:r>
        <w:rPr>
          <w:lang w:eastAsia="zh-CN"/>
        </w:rPr>
        <w:t xml:space="preserve">, i.e., data transfer from gNB to CN/OAM, </w:t>
      </w:r>
      <w:r>
        <w:rPr>
          <w:rFonts w:hint="eastAsia"/>
          <w:lang w:val="en-US" w:eastAsia="zh-CN"/>
        </w:rPr>
        <w:t xml:space="preserve">thus </w:t>
      </w:r>
      <w:r>
        <w:rPr>
          <w:lang w:eastAsia="zh-CN"/>
        </w:rPr>
        <w:t>RAN3 needs to</w:t>
      </w:r>
      <w:r>
        <w:rPr>
          <w:rFonts w:hint="eastAsia"/>
          <w:lang w:val="en-US" w:eastAsia="zh-CN"/>
        </w:rPr>
        <w:t xml:space="preserve"> focus on</w:t>
      </w:r>
      <w:r>
        <w:rPr>
          <w:lang w:eastAsia="zh-CN"/>
        </w:rPr>
        <w:t xml:space="preserve"> confirm</w:t>
      </w:r>
      <w:r>
        <w:rPr>
          <w:rFonts w:hint="eastAsia"/>
          <w:lang w:val="en-US" w:eastAsia="zh-CN"/>
        </w:rPr>
        <w:t>ing</w:t>
      </w:r>
      <w:r>
        <w:rPr>
          <w:lang w:eastAsia="zh-CN"/>
        </w:rPr>
        <w:t xml:space="preserve"> RAN2’s assumption on whether this option can be supported within Rel-19 existing architecture framework.</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0370E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3E3CC648">
            <w:pPr>
              <w:overflowPunct w:val="0"/>
              <w:autoSpaceDE w:val="0"/>
              <w:autoSpaceDN w:val="0"/>
              <w:adjustRightInd w:val="0"/>
              <w:spacing w:before="100" w:beforeAutospacing="1"/>
              <w:rPr>
                <w:rFonts w:ascii="Cambria" w:hAnsi="Cambria"/>
                <w:lang w:val="en-US" w:eastAsia="zh-CN"/>
              </w:rPr>
            </w:pPr>
            <w:r>
              <w:rPr>
                <w:rFonts w:ascii="Cambria" w:hAnsi="Cambria"/>
                <w:b/>
                <w:bCs/>
                <w:u w:val="single"/>
                <w:lang w:val="en-US" w:eastAsia="zh-CN"/>
              </w:rPr>
              <w:t>For non-OTA approaches</w:t>
            </w:r>
            <w:r>
              <w:rPr>
                <w:rFonts w:ascii="Cambria" w:hAnsi="Cambria"/>
                <w:lang w:val="en-US" w:eastAsia="zh-CN"/>
              </w:rPr>
              <w:t xml:space="preserve">, i.e., ‘NW dataset/model parameters collection entity -&gt; UE training entity (a server inside MNO or an OTT server)’, RAN2 identified the following candidate solutions (see below Table 1).  </w:t>
            </w:r>
            <w:r>
              <w:rPr>
                <w:rFonts w:ascii="Cambria" w:hAnsi="Cambria"/>
                <w:b/>
                <w:bCs/>
                <w:highlight w:val="yellow"/>
                <w:u w:val="single"/>
                <w:lang w:val="en-US" w:eastAsia="zh-CN"/>
              </w:rPr>
              <w:t>From RAN2 point of view, it is assumed they can be supported within Rel-19 existing architecture framework.</w:t>
            </w:r>
            <w:r>
              <w:rPr>
                <w:rFonts w:ascii="Cambria" w:hAnsi="Cambria"/>
                <w:highlight w:val="yellow"/>
                <w:lang w:val="en-US" w:eastAsia="zh-CN"/>
              </w:rPr>
              <w:t xml:space="preserve"> RAN3, SA2, and SA5 can further confirm the above RAN2 assumption</w:t>
            </w:r>
            <w:r>
              <w:rPr>
                <w:rFonts w:ascii="Cambria" w:hAnsi="Cambria"/>
                <w:lang w:val="en-US" w:eastAsia="zh-CN"/>
              </w:rPr>
              <w:t>. Furthermore, it does not preclude RAN3/SA2/SA5 to identify other candidate solutions beyond options listed below.</w:t>
            </w:r>
          </w:p>
          <w:p w14:paraId="3C8F94FE">
            <w:pPr>
              <w:overflowPunct w:val="0"/>
              <w:autoSpaceDE w:val="0"/>
              <w:autoSpaceDN w:val="0"/>
              <w:adjustRightInd w:val="0"/>
              <w:spacing w:before="100" w:beforeAutospacing="1"/>
              <w:jc w:val="center"/>
              <w:rPr>
                <w:rFonts w:ascii="Cambria" w:hAnsi="Cambria"/>
                <w:lang w:val="en-US" w:eastAsia="zh-CN"/>
              </w:rPr>
            </w:pPr>
            <w:r>
              <w:rPr>
                <w:rFonts w:ascii="Cambria" w:hAnsi="Cambria"/>
                <w:lang w:val="en-US" w:eastAsia="zh-CN"/>
              </w:rPr>
              <w:t>Table 1. non-OTA candidate solutions</w:t>
            </w:r>
          </w:p>
          <w:tbl>
            <w:tblPr>
              <w:tblStyle w:val="45"/>
              <w:tblW w:w="9351" w:type="dxa"/>
              <w:tblInd w:w="0" w:type="dxa"/>
              <w:tblLayout w:type="autofit"/>
              <w:tblCellMar>
                <w:top w:w="0" w:type="dxa"/>
                <w:left w:w="108" w:type="dxa"/>
                <w:bottom w:w="0" w:type="dxa"/>
                <w:right w:w="108" w:type="dxa"/>
              </w:tblCellMar>
            </w:tblPr>
            <w:tblGrid>
              <w:gridCol w:w="4957"/>
              <w:gridCol w:w="1559"/>
              <w:gridCol w:w="2835"/>
            </w:tblGrid>
            <w:tr w14:paraId="05CC9F84">
              <w:tblPrEx>
                <w:tblCellMar>
                  <w:top w:w="0" w:type="dxa"/>
                  <w:left w:w="108" w:type="dxa"/>
                  <w:bottom w:w="0" w:type="dxa"/>
                  <w:right w:w="108" w:type="dxa"/>
                </w:tblCellMar>
              </w:tblPrEx>
              <w:tc>
                <w:tcPr>
                  <w:tcW w:w="4957" w:type="dxa"/>
                  <w:tcBorders>
                    <w:top w:val="single" w:color="auto" w:sz="4" w:space="0"/>
                    <w:left w:val="single" w:color="auto" w:sz="4" w:space="0"/>
                    <w:bottom w:val="single" w:color="auto" w:sz="4" w:space="0"/>
                    <w:right w:val="single" w:color="auto" w:sz="4" w:space="0"/>
                  </w:tcBorders>
                </w:tcPr>
                <w:p w14:paraId="6B53B022">
                  <w:pPr>
                    <w:overflowPunct w:val="0"/>
                    <w:autoSpaceDE w:val="0"/>
                    <w:autoSpaceDN w:val="0"/>
                    <w:adjustRightInd w:val="0"/>
                    <w:spacing w:before="100" w:beforeAutospacing="1" w:after="0"/>
                    <w:jc w:val="center"/>
                    <w:rPr>
                      <w:rFonts w:eastAsia="Calibri"/>
                      <w:b/>
                      <w:bCs/>
                      <w:lang w:val="en-US"/>
                    </w:rPr>
                  </w:pPr>
                  <w:r>
                    <w:rPr>
                      <w:rFonts w:eastAsia="Calibri"/>
                      <w:b/>
                      <w:bCs/>
                      <w:lang w:val="en-US"/>
                    </w:rPr>
                    <w:t>Option</w:t>
                  </w:r>
                </w:p>
              </w:tc>
              <w:tc>
                <w:tcPr>
                  <w:tcW w:w="1559" w:type="dxa"/>
                  <w:tcBorders>
                    <w:top w:val="single" w:color="auto" w:sz="4" w:space="0"/>
                    <w:left w:val="single" w:color="auto" w:sz="4" w:space="0"/>
                    <w:bottom w:val="single" w:color="auto" w:sz="4" w:space="0"/>
                    <w:right w:val="single" w:color="auto" w:sz="4" w:space="0"/>
                  </w:tcBorders>
                </w:tcPr>
                <w:p w14:paraId="0498FCB8">
                  <w:pPr>
                    <w:overflowPunct w:val="0"/>
                    <w:autoSpaceDE w:val="0"/>
                    <w:autoSpaceDN w:val="0"/>
                    <w:adjustRightInd w:val="0"/>
                    <w:spacing w:before="100" w:beforeAutospacing="1" w:after="0"/>
                    <w:rPr>
                      <w:rFonts w:eastAsia="Calibri"/>
                      <w:b/>
                      <w:bCs/>
                      <w:lang w:val="en-US"/>
                    </w:rPr>
                  </w:pPr>
                  <w:r>
                    <w:rPr>
                      <w:rFonts w:eastAsia="Calibri"/>
                      <w:b/>
                      <w:bCs/>
                      <w:lang w:val="en-US"/>
                    </w:rPr>
                    <w:t>Impacted WG</w:t>
                  </w:r>
                </w:p>
              </w:tc>
              <w:tc>
                <w:tcPr>
                  <w:tcW w:w="2835" w:type="dxa"/>
                  <w:tcBorders>
                    <w:top w:val="single" w:color="auto" w:sz="4" w:space="0"/>
                    <w:left w:val="single" w:color="auto" w:sz="4" w:space="0"/>
                    <w:bottom w:val="single" w:color="auto" w:sz="4" w:space="0"/>
                    <w:right w:val="single" w:color="auto" w:sz="4" w:space="0"/>
                  </w:tcBorders>
                </w:tcPr>
                <w:p w14:paraId="7C23D5C3">
                  <w:pPr>
                    <w:overflowPunct w:val="0"/>
                    <w:autoSpaceDE w:val="0"/>
                    <w:autoSpaceDN w:val="0"/>
                    <w:adjustRightInd w:val="0"/>
                    <w:spacing w:before="100" w:beforeAutospacing="1" w:after="0"/>
                    <w:rPr>
                      <w:rFonts w:eastAsia="Calibri"/>
                      <w:b/>
                      <w:bCs/>
                      <w:lang w:val="en-US"/>
                    </w:rPr>
                  </w:pPr>
                  <w:r>
                    <w:rPr>
                      <w:rFonts w:eastAsia="Calibri"/>
                      <w:b/>
                      <w:bCs/>
                      <w:lang w:val="en-US"/>
                    </w:rPr>
                    <w:t>Specification impact/Implementation impact</w:t>
                  </w:r>
                </w:p>
              </w:tc>
            </w:tr>
            <w:tr w14:paraId="2089B95C">
              <w:tblPrEx>
                <w:tblCellMar>
                  <w:top w:w="0" w:type="dxa"/>
                  <w:left w:w="108" w:type="dxa"/>
                  <w:bottom w:w="0" w:type="dxa"/>
                  <w:right w:w="108" w:type="dxa"/>
                </w:tblCellMar>
              </w:tblPrEx>
              <w:tc>
                <w:tcPr>
                  <w:tcW w:w="4957" w:type="dxa"/>
                  <w:tcBorders>
                    <w:top w:val="single" w:color="auto" w:sz="4" w:space="0"/>
                    <w:left w:val="single" w:color="auto" w:sz="4" w:space="0"/>
                    <w:bottom w:val="single" w:color="auto" w:sz="4" w:space="0"/>
                    <w:right w:val="single" w:color="auto" w:sz="4" w:space="0"/>
                  </w:tcBorders>
                </w:tcPr>
                <w:p w14:paraId="1610403B">
                  <w:pPr>
                    <w:suppressAutoHyphens/>
                    <w:overflowPunct w:val="0"/>
                    <w:autoSpaceDE w:val="0"/>
                    <w:autoSpaceDN w:val="0"/>
                    <w:adjustRightInd w:val="0"/>
                    <w:spacing w:before="120"/>
                    <w:rPr>
                      <w:lang w:val="en-US"/>
                    </w:rPr>
                  </w:pPr>
                  <w:r>
                    <w:rPr>
                      <w:rFonts w:eastAsia="Calibri"/>
                      <w:u w:val="single"/>
                      <w:lang w:val="en-US"/>
                    </w:rPr>
                    <w:t xml:space="preserve">OAM -&gt; UE-side training entity </w:t>
                  </w:r>
                  <w:r>
                    <w:rPr>
                      <w:rFonts w:eastAsia="Calibri"/>
                      <w:lang w:val="en-US"/>
                    </w:rPr>
                    <w:t>(a server inside MNO or an OTT server)</w:t>
                  </w:r>
                  <w:bookmarkStart w:id="1" w:name="_Hlk195138904"/>
                  <w:r>
                    <w:rPr>
                      <w:rFonts w:eastAsia="Calibri"/>
                      <w:lang w:val="en-US"/>
                    </w:rPr>
                    <w:t>, where OAM is NW-side dataset/model parameter collection entity</w:t>
                  </w:r>
                  <w:bookmarkEnd w:id="1"/>
                </w:p>
              </w:tc>
              <w:tc>
                <w:tcPr>
                  <w:tcW w:w="1559" w:type="dxa"/>
                  <w:tcBorders>
                    <w:top w:val="single" w:color="auto" w:sz="4" w:space="0"/>
                    <w:left w:val="single" w:color="auto" w:sz="4" w:space="0"/>
                    <w:bottom w:val="single" w:color="auto" w:sz="4" w:space="0"/>
                    <w:right w:val="single" w:color="auto" w:sz="4" w:space="0"/>
                  </w:tcBorders>
                </w:tcPr>
                <w:p w14:paraId="087CD088">
                  <w:pPr>
                    <w:overflowPunct w:val="0"/>
                    <w:autoSpaceDE w:val="0"/>
                    <w:autoSpaceDN w:val="0"/>
                    <w:adjustRightInd w:val="0"/>
                    <w:spacing w:before="100" w:beforeAutospacing="1"/>
                    <w:rPr>
                      <w:rFonts w:eastAsia="Calibri"/>
                      <w:lang w:val="en-US"/>
                    </w:rPr>
                  </w:pPr>
                  <w:r>
                    <w:rPr>
                      <w:rFonts w:eastAsia="Calibri"/>
                      <w:lang w:val="en-US"/>
                    </w:rPr>
                    <w:t>SA5, SA3</w:t>
                  </w:r>
                </w:p>
              </w:tc>
              <w:tc>
                <w:tcPr>
                  <w:tcW w:w="2835" w:type="dxa"/>
                  <w:tcBorders>
                    <w:top w:val="single" w:color="auto" w:sz="4" w:space="0"/>
                    <w:left w:val="single" w:color="auto" w:sz="4" w:space="0"/>
                    <w:bottom w:val="single" w:color="auto" w:sz="4" w:space="0"/>
                    <w:right w:val="single" w:color="auto" w:sz="4" w:space="0"/>
                  </w:tcBorders>
                </w:tcPr>
                <w:p w14:paraId="3758B49E">
                  <w:pPr>
                    <w:overflowPunct w:val="0"/>
                    <w:autoSpaceDE w:val="0"/>
                    <w:autoSpaceDN w:val="0"/>
                    <w:adjustRightInd w:val="0"/>
                    <w:spacing w:before="100" w:beforeAutospacing="1"/>
                    <w:rPr>
                      <w:rFonts w:eastAsia="Calibri"/>
                      <w:lang w:val="en-US"/>
                    </w:rPr>
                  </w:pPr>
                  <w:r>
                    <w:rPr>
                      <w:rFonts w:eastAsia="Calibri"/>
                      <w:lang w:val="en-US"/>
                    </w:rPr>
                    <w:t>Up to SA5</w:t>
                  </w:r>
                </w:p>
                <w:p w14:paraId="6115E89D">
                  <w:pPr>
                    <w:overflowPunct w:val="0"/>
                    <w:autoSpaceDE w:val="0"/>
                    <w:autoSpaceDN w:val="0"/>
                    <w:adjustRightInd w:val="0"/>
                    <w:spacing w:before="100" w:beforeAutospacing="1"/>
                    <w:rPr>
                      <w:rFonts w:eastAsia="Calibri"/>
                      <w:lang w:val="en-US"/>
                    </w:rPr>
                  </w:pPr>
                  <w:r>
                    <w:rPr>
                      <w:rFonts w:eastAsia="Calibri"/>
                      <w:lang w:val="en-US"/>
                    </w:rPr>
                    <w:t>(any intermediate node between OAM and UE-side OTT server is up to SA5; CN involvement if needed is up to SA2/SA5 discussion)</w:t>
                  </w:r>
                </w:p>
              </w:tc>
            </w:tr>
            <w:tr w14:paraId="74F34BCB">
              <w:tblPrEx>
                <w:tblCellMar>
                  <w:top w:w="0" w:type="dxa"/>
                  <w:left w:w="108" w:type="dxa"/>
                  <w:bottom w:w="0" w:type="dxa"/>
                  <w:right w:w="108" w:type="dxa"/>
                </w:tblCellMar>
              </w:tblPrEx>
              <w:tc>
                <w:tcPr>
                  <w:tcW w:w="4957" w:type="dxa"/>
                  <w:tcBorders>
                    <w:top w:val="single" w:color="auto" w:sz="4" w:space="0"/>
                    <w:left w:val="single" w:color="auto" w:sz="4" w:space="0"/>
                    <w:bottom w:val="single" w:color="auto" w:sz="4" w:space="0"/>
                    <w:right w:val="single" w:color="auto" w:sz="4" w:space="0"/>
                  </w:tcBorders>
                </w:tcPr>
                <w:p w14:paraId="5E98CE98">
                  <w:pPr>
                    <w:suppressAutoHyphens/>
                    <w:overflowPunct w:val="0"/>
                    <w:autoSpaceDE w:val="0"/>
                    <w:autoSpaceDN w:val="0"/>
                    <w:adjustRightInd w:val="0"/>
                    <w:spacing w:before="120"/>
                    <w:rPr>
                      <w:rFonts w:eastAsia="Calibri"/>
                      <w:lang w:val="en-US"/>
                    </w:rPr>
                  </w:pPr>
                  <w:r>
                    <w:rPr>
                      <w:rFonts w:eastAsia="Calibri"/>
                      <w:u w:val="single"/>
                      <w:lang w:val="en-US"/>
                    </w:rPr>
                    <w:t>CN -&gt; UE-side training entity</w:t>
                  </w:r>
                  <w:r>
                    <w:rPr>
                      <w:rFonts w:eastAsia="Calibri"/>
                      <w:lang w:val="en-US"/>
                    </w:rPr>
                    <w:t xml:space="preserve"> (a server inside MNO or an OTT server)</w:t>
                  </w:r>
                  <w:bookmarkStart w:id="2" w:name="_Hlk195138895"/>
                  <w:r>
                    <w:rPr>
                      <w:rFonts w:eastAsia="Calibri"/>
                      <w:lang w:val="en-US"/>
                    </w:rPr>
                    <w:t>, where CN is NW-side dataset/model parameter collection entity</w:t>
                  </w:r>
                  <w:bookmarkEnd w:id="2"/>
                </w:p>
              </w:tc>
              <w:tc>
                <w:tcPr>
                  <w:tcW w:w="1559" w:type="dxa"/>
                  <w:tcBorders>
                    <w:top w:val="single" w:color="auto" w:sz="4" w:space="0"/>
                    <w:left w:val="single" w:color="auto" w:sz="4" w:space="0"/>
                    <w:bottom w:val="single" w:color="auto" w:sz="4" w:space="0"/>
                    <w:right w:val="single" w:color="auto" w:sz="4" w:space="0"/>
                  </w:tcBorders>
                </w:tcPr>
                <w:p w14:paraId="273A84B2">
                  <w:pPr>
                    <w:overflowPunct w:val="0"/>
                    <w:autoSpaceDE w:val="0"/>
                    <w:autoSpaceDN w:val="0"/>
                    <w:adjustRightInd w:val="0"/>
                    <w:spacing w:before="100" w:beforeAutospacing="1"/>
                    <w:rPr>
                      <w:rFonts w:eastAsia="Calibri"/>
                      <w:lang w:val="en-US"/>
                    </w:rPr>
                  </w:pPr>
                  <w:r>
                    <w:rPr>
                      <w:rFonts w:eastAsia="Calibri"/>
                      <w:lang w:val="en-US"/>
                    </w:rPr>
                    <w:t>SA2, SA3</w:t>
                  </w:r>
                </w:p>
              </w:tc>
              <w:tc>
                <w:tcPr>
                  <w:tcW w:w="2835" w:type="dxa"/>
                  <w:tcBorders>
                    <w:top w:val="single" w:color="auto" w:sz="4" w:space="0"/>
                    <w:left w:val="single" w:color="auto" w:sz="4" w:space="0"/>
                    <w:bottom w:val="single" w:color="auto" w:sz="4" w:space="0"/>
                    <w:right w:val="single" w:color="auto" w:sz="4" w:space="0"/>
                  </w:tcBorders>
                </w:tcPr>
                <w:p w14:paraId="0B017496">
                  <w:pPr>
                    <w:overflowPunct w:val="0"/>
                    <w:autoSpaceDE w:val="0"/>
                    <w:autoSpaceDN w:val="0"/>
                    <w:adjustRightInd w:val="0"/>
                    <w:spacing w:before="100" w:beforeAutospacing="1"/>
                    <w:rPr>
                      <w:rFonts w:eastAsia="Calibri"/>
                      <w:lang w:val="en-US"/>
                    </w:rPr>
                  </w:pPr>
                  <w:r>
                    <w:rPr>
                      <w:rFonts w:eastAsia="Calibri"/>
                      <w:lang w:val="en-US"/>
                    </w:rPr>
                    <w:t>Up to SA2</w:t>
                  </w:r>
                </w:p>
                <w:p w14:paraId="51E262C0">
                  <w:pPr>
                    <w:overflowPunct w:val="0"/>
                    <w:autoSpaceDE w:val="0"/>
                    <w:autoSpaceDN w:val="0"/>
                    <w:adjustRightInd w:val="0"/>
                    <w:spacing w:before="100" w:beforeAutospacing="1"/>
                    <w:rPr>
                      <w:rFonts w:eastAsia="Calibri"/>
                      <w:lang w:val="en-US"/>
                    </w:rPr>
                  </w:pPr>
                  <w:r>
                    <w:rPr>
                      <w:rFonts w:eastAsia="Calibri"/>
                      <w:lang w:val="en-US"/>
                    </w:rPr>
                    <w:t>(any intermediate node between CN and UE-side OTT server is up to SA2)</w:t>
                  </w:r>
                </w:p>
              </w:tc>
            </w:tr>
            <w:tr w14:paraId="78D2FC43">
              <w:tblPrEx>
                <w:tblCellMar>
                  <w:top w:w="0" w:type="dxa"/>
                  <w:left w:w="108" w:type="dxa"/>
                  <w:bottom w:w="0" w:type="dxa"/>
                  <w:right w:w="108" w:type="dxa"/>
                </w:tblCellMar>
              </w:tblPrEx>
              <w:tc>
                <w:tcPr>
                  <w:tcW w:w="4957" w:type="dxa"/>
                  <w:tcBorders>
                    <w:top w:val="single" w:color="auto" w:sz="4" w:space="0"/>
                    <w:left w:val="single" w:color="auto" w:sz="4" w:space="0"/>
                    <w:bottom w:val="single" w:color="auto" w:sz="4" w:space="0"/>
                    <w:right w:val="single" w:color="auto" w:sz="4" w:space="0"/>
                  </w:tcBorders>
                </w:tcPr>
                <w:p w14:paraId="34AFA81A">
                  <w:pPr>
                    <w:suppressAutoHyphens/>
                    <w:overflowPunct w:val="0"/>
                    <w:autoSpaceDE w:val="0"/>
                    <w:autoSpaceDN w:val="0"/>
                    <w:adjustRightInd w:val="0"/>
                    <w:spacing w:before="120"/>
                    <w:rPr>
                      <w:rFonts w:eastAsia="Calibri"/>
                      <w:lang w:val="en-US"/>
                    </w:rPr>
                  </w:pPr>
                  <w:r>
                    <w:rPr>
                      <w:rFonts w:eastAsia="Calibri"/>
                      <w:highlight w:val="yellow"/>
                      <w:u w:val="single"/>
                      <w:lang w:val="en-US"/>
                    </w:rPr>
                    <w:t>gNB -&gt; OAM/CN</w:t>
                  </w:r>
                  <w:r>
                    <w:rPr>
                      <w:rFonts w:eastAsia="Calibri"/>
                      <w:u w:val="single"/>
                      <w:lang w:val="en-US"/>
                    </w:rPr>
                    <w:t xml:space="preserve"> -&gt; UE-side training entity</w:t>
                  </w:r>
                  <w:r>
                    <w:rPr>
                      <w:rFonts w:eastAsia="Calibri"/>
                      <w:lang w:val="en-US"/>
                    </w:rPr>
                    <w:t xml:space="preserve"> (a server inside MNO or an OTT server)</w:t>
                  </w:r>
                  <w:bookmarkStart w:id="3" w:name="_Hlk195138882"/>
                  <w:r>
                    <w:rPr>
                      <w:rFonts w:eastAsia="Calibri"/>
                      <w:lang w:val="en-US"/>
                    </w:rPr>
                    <w:t xml:space="preserve">, </w:t>
                  </w:r>
                  <w:r>
                    <w:rPr>
                      <w:rFonts w:eastAsia="Calibri"/>
                      <w:highlight w:val="yellow"/>
                      <w:lang w:val="en-US"/>
                    </w:rPr>
                    <w:t>where gNB is NW-side dataset/model parameter collection entity</w:t>
                  </w:r>
                  <w:bookmarkEnd w:id="3"/>
                </w:p>
              </w:tc>
              <w:tc>
                <w:tcPr>
                  <w:tcW w:w="1559" w:type="dxa"/>
                  <w:tcBorders>
                    <w:top w:val="single" w:color="auto" w:sz="4" w:space="0"/>
                    <w:left w:val="single" w:color="auto" w:sz="4" w:space="0"/>
                    <w:bottom w:val="single" w:color="auto" w:sz="4" w:space="0"/>
                    <w:right w:val="single" w:color="auto" w:sz="4" w:space="0"/>
                  </w:tcBorders>
                </w:tcPr>
                <w:p w14:paraId="51D0C2F0">
                  <w:pPr>
                    <w:overflowPunct w:val="0"/>
                    <w:autoSpaceDE w:val="0"/>
                    <w:autoSpaceDN w:val="0"/>
                    <w:adjustRightInd w:val="0"/>
                    <w:spacing w:before="100" w:beforeAutospacing="1"/>
                    <w:rPr>
                      <w:rFonts w:eastAsia="Calibri"/>
                      <w:lang w:val="en-US"/>
                    </w:rPr>
                  </w:pPr>
                  <w:r>
                    <w:rPr>
                      <w:rFonts w:eastAsia="Calibri"/>
                      <w:highlight w:val="yellow"/>
                      <w:lang w:val="en-US"/>
                    </w:rPr>
                    <w:t>RAN3</w:t>
                  </w:r>
                  <w:r>
                    <w:rPr>
                      <w:rFonts w:eastAsia="Calibri"/>
                      <w:lang w:val="en-US"/>
                    </w:rPr>
                    <w:t>, SA2, SA5, SA3</w:t>
                  </w:r>
                </w:p>
              </w:tc>
              <w:tc>
                <w:tcPr>
                  <w:tcW w:w="2835" w:type="dxa"/>
                  <w:tcBorders>
                    <w:top w:val="single" w:color="auto" w:sz="4" w:space="0"/>
                    <w:left w:val="single" w:color="auto" w:sz="4" w:space="0"/>
                    <w:bottom w:val="single" w:color="auto" w:sz="4" w:space="0"/>
                    <w:right w:val="single" w:color="auto" w:sz="4" w:space="0"/>
                  </w:tcBorders>
                </w:tcPr>
                <w:p w14:paraId="50D354B1">
                  <w:pPr>
                    <w:overflowPunct w:val="0"/>
                    <w:autoSpaceDE w:val="0"/>
                    <w:autoSpaceDN w:val="0"/>
                    <w:adjustRightInd w:val="0"/>
                    <w:spacing w:before="100" w:beforeAutospacing="1"/>
                    <w:rPr>
                      <w:rFonts w:eastAsia="Calibri"/>
                      <w:lang w:val="en-US"/>
                    </w:rPr>
                  </w:pPr>
                  <w:r>
                    <w:rPr>
                      <w:rFonts w:eastAsia="Calibri"/>
                      <w:lang w:val="en-US"/>
                    </w:rPr>
                    <w:t>Up to RAN3, SA2, SA5</w:t>
                  </w:r>
                </w:p>
                <w:p w14:paraId="5664EC88">
                  <w:pPr>
                    <w:overflowPunct w:val="0"/>
                    <w:autoSpaceDE w:val="0"/>
                    <w:autoSpaceDN w:val="0"/>
                    <w:adjustRightInd w:val="0"/>
                    <w:spacing w:before="100" w:beforeAutospacing="1"/>
                    <w:rPr>
                      <w:rFonts w:eastAsia="Calibri"/>
                      <w:lang w:val="en-US"/>
                    </w:rPr>
                  </w:pPr>
                  <w:r>
                    <w:rPr>
                      <w:rFonts w:eastAsia="Calibri"/>
                      <w:lang w:val="en-US"/>
                    </w:rPr>
                    <w:t>(any intermediate node between gNB/OAM, OAM/UE-side OTT server, CN/UE-side OTT server is up to RAN3/SA2/SA5)</w:t>
                  </w:r>
                </w:p>
              </w:tc>
            </w:tr>
          </w:tbl>
          <w:p w14:paraId="512494E5">
            <w:pPr>
              <w:rPr>
                <w:rFonts w:ascii="Cambria" w:hAnsi="Cambria"/>
                <w:lang w:val="en-US" w:eastAsia="zh-CN"/>
              </w:rPr>
            </w:pPr>
          </w:p>
        </w:tc>
      </w:tr>
    </w:tbl>
    <w:p w14:paraId="1D5E254A">
      <w:pPr>
        <w:rPr>
          <w:lang w:eastAsia="zh-CN"/>
        </w:rPr>
      </w:pPr>
    </w:p>
    <w:p w14:paraId="3FC949BF">
      <w:pPr>
        <w:rPr>
          <w:lang w:val="en-US" w:eastAsia="zh-CN"/>
        </w:rPr>
      </w:pPr>
      <w:r>
        <w:rPr>
          <w:rFonts w:hint="eastAsia"/>
          <w:lang w:val="en-US" w:eastAsia="zh-CN"/>
        </w:rPr>
        <w:t>It should also be noted how to request gNB to transfer the data to UE-side training entity is not in the LS discussion scope. RAN3 should focus on the feasibility of transfer data</w:t>
      </w:r>
      <w:r>
        <w:rPr>
          <w:lang w:val="en-US" w:eastAsia="zh-CN"/>
        </w:rPr>
        <w:t>set/model parameter</w:t>
      </w:r>
      <w:r>
        <w:rPr>
          <w:rFonts w:hint="eastAsia"/>
          <w:lang w:val="en-US" w:eastAsia="zh-CN"/>
        </w:rPr>
        <w:t xml:space="preserve"> from gNB to OAM/CN.</w:t>
      </w:r>
    </w:p>
    <w:p w14:paraId="281EF144">
      <w:pPr>
        <w:rPr>
          <w:b/>
          <w:bCs/>
          <w:lang w:eastAsia="zh-CN"/>
        </w:rPr>
      </w:pPr>
      <w:r>
        <w:rPr>
          <w:b/>
          <w:bCs/>
          <w:lang w:eastAsia="zh-CN"/>
        </w:rPr>
        <w:t xml:space="preserve">Proposal 1, RAN3 only focus on </w:t>
      </w:r>
      <w:r>
        <w:rPr>
          <w:rFonts w:hint="eastAsia"/>
          <w:b/>
          <w:bCs/>
          <w:lang w:val="en-US" w:eastAsia="zh-CN"/>
        </w:rPr>
        <w:t xml:space="preserve">the feasibility of the </w:t>
      </w:r>
      <w:r>
        <w:rPr>
          <w:b/>
          <w:bCs/>
          <w:lang w:eastAsia="zh-CN"/>
        </w:rPr>
        <w:t>data transfer from gNB to OAM/CN and confirm RAN2’s assumption on whether it can be supported within Rel-19 existing architecture framework.</w:t>
      </w:r>
    </w:p>
    <w:p w14:paraId="461A7F1E">
      <w:pPr>
        <w:outlineLvl w:val="1"/>
        <w:rPr>
          <w:b/>
          <w:bCs/>
          <w:u w:val="single"/>
          <w:lang w:eastAsia="zh-CN"/>
        </w:rPr>
      </w:pPr>
      <w:r>
        <w:rPr>
          <w:rFonts w:hint="eastAsia"/>
          <w:b/>
          <w:bCs/>
          <w:u w:val="single"/>
          <w:lang w:eastAsia="zh-CN"/>
        </w:rPr>
        <w:t>Considerations for transfer of the dataset/model parameters</w:t>
      </w:r>
    </w:p>
    <w:p w14:paraId="018B6B55">
      <w:pPr>
        <w:rPr>
          <w:lang w:val="en-US" w:eastAsia="zh-CN"/>
        </w:rPr>
      </w:pPr>
      <w:r>
        <w:rPr>
          <w:lang w:eastAsia="zh-CN"/>
        </w:rPr>
        <w:t xml:space="preserve">Based on </w:t>
      </w:r>
      <w:r>
        <w:rPr>
          <w:rFonts w:hint="eastAsia"/>
          <w:lang w:eastAsia="zh-CN"/>
        </w:rPr>
        <w:t xml:space="preserve">the </w:t>
      </w:r>
      <w:r>
        <w:rPr>
          <w:rFonts w:hint="eastAsia"/>
          <w:lang w:val="en-US" w:eastAsia="zh-CN"/>
        </w:rPr>
        <w:t>background information in the LS and RAN1/2 discussions, the dataset and model parameters are provided to the UE or UE-side training entity,</w:t>
      </w:r>
      <w:r>
        <w:rPr>
          <w:lang w:val="en-US" w:eastAsia="zh-CN"/>
        </w:rPr>
        <w:t xml:space="preserve"> and</w:t>
      </w:r>
      <w:r>
        <w:rPr>
          <w:rFonts w:hint="eastAsia"/>
          <w:lang w:val="en-US" w:eastAsia="zh-CN"/>
        </w:rPr>
        <w:t xml:space="preserve"> the data are collected by the gNB side</w:t>
      </w:r>
      <w:r>
        <w:rPr>
          <w:lang w:val="en-US" w:eastAsia="zh-CN"/>
        </w:rPr>
        <w:t>, the data can be per UE level or per cell/gNB level, which is up to RAN1/2 decision</w:t>
      </w:r>
      <w:r>
        <w:rPr>
          <w:rFonts w:hint="eastAsia"/>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A6C5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CA14FA7">
            <w:pPr>
              <w:overflowPunct w:val="0"/>
              <w:autoSpaceDE w:val="0"/>
              <w:autoSpaceDN w:val="0"/>
              <w:adjustRightInd w:val="0"/>
              <w:spacing w:before="120" w:after="120"/>
              <w:rPr>
                <w:rFonts w:ascii="Cambria" w:hAnsi="Cambria"/>
                <w:lang w:val="en-US" w:eastAsia="zh-CN"/>
              </w:rPr>
            </w:pPr>
            <w:r>
              <w:rPr>
                <w:rFonts w:ascii="Cambria" w:hAnsi="Cambria"/>
                <w:lang w:val="en-US" w:eastAsia="zh-CN"/>
              </w:rPr>
              <w:t>AN2 discussed the candidate solutions and feasibility of standardized signaling for NW-side sharing dataset/model parameter to UE or UE-side training entity for below options:</w:t>
            </w:r>
          </w:p>
          <w:p w14:paraId="3379A737">
            <w:pPr>
              <w:numPr>
                <w:ilvl w:val="0"/>
                <w:numId w:val="4"/>
              </w:numPr>
              <w:contextualSpacing/>
              <w:jc w:val="both"/>
              <w:rPr>
                <w:rFonts w:ascii="Cambria" w:hAnsi="Cambria" w:eastAsia="Calibri"/>
                <w:lang w:val="en-US"/>
              </w:rPr>
            </w:pPr>
            <w:r>
              <w:rPr>
                <w:rFonts w:ascii="Cambria" w:hAnsi="Cambria" w:eastAsia="Calibri"/>
                <w:lang w:val="en-US"/>
              </w:rPr>
              <w:t>Dataset sharing consisting of {(Target CSI, CSI feedback)}</w:t>
            </w:r>
          </w:p>
          <w:p w14:paraId="5D10BD59">
            <w:pPr>
              <w:numPr>
                <w:ilvl w:val="0"/>
                <w:numId w:val="4"/>
              </w:numPr>
              <w:contextualSpacing/>
              <w:jc w:val="both"/>
              <w:rPr>
                <w:rFonts w:ascii="Cambria" w:hAnsi="Cambria" w:eastAsia="Calibri"/>
                <w:lang w:val="en-US"/>
              </w:rPr>
            </w:pPr>
            <w:r>
              <w:rPr>
                <w:rFonts w:ascii="Cambria" w:hAnsi="Cambria" w:eastAsia="Calibri"/>
                <w:lang w:val="en-US"/>
              </w:rPr>
              <w:t>Encoder parameter sharing</w:t>
            </w:r>
          </w:p>
          <w:p w14:paraId="663CED66">
            <w:pPr>
              <w:numPr>
                <w:ilvl w:val="0"/>
                <w:numId w:val="4"/>
              </w:numPr>
              <w:contextualSpacing/>
              <w:jc w:val="both"/>
              <w:rPr>
                <w:rFonts w:ascii="Cambria" w:hAnsi="Cambria"/>
                <w:lang w:eastAsia="zh-CN"/>
              </w:rPr>
            </w:pPr>
            <w:r>
              <w:rPr>
                <w:rFonts w:ascii="Cambria" w:hAnsi="Cambria" w:eastAsia="Calibri"/>
                <w:lang w:val="en-US"/>
              </w:rPr>
              <w:t>Encoder parameter sharing + dataset sharing consisting of {target CSI}</w:t>
            </w:r>
          </w:p>
        </w:tc>
      </w:tr>
    </w:tbl>
    <w:p w14:paraId="3A083AE7">
      <w:pPr>
        <w:rPr>
          <w:lang w:eastAsia="zh-CN"/>
        </w:rPr>
      </w:pPr>
    </w:p>
    <w:p w14:paraId="68C87034">
      <w:pPr>
        <w:rPr>
          <w:lang w:val="en-US" w:eastAsia="zh-CN"/>
        </w:rPr>
      </w:pPr>
      <w:r>
        <w:rPr>
          <w:rFonts w:hint="eastAsia"/>
          <w:lang w:val="en-US" w:eastAsia="zh-CN"/>
        </w:rPr>
        <w:t>According to the principles outlined by RAN2, the dataset and model parameters should be readable and controllable by the network, with relaxed latency requirements. The size may typically be around hundreds of megabytes, all of which can affect how data is transferred from the gNB to the OAM/CN.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718F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C85753F">
            <w:pPr>
              <w:spacing w:after="160"/>
              <w:rPr>
                <w:rFonts w:ascii="Cambria" w:hAnsi="Cambria" w:eastAsia="Calibri"/>
                <w:b/>
                <w:bCs/>
                <w:lang w:eastAsia="zh-CN"/>
              </w:rPr>
            </w:pPr>
            <w:r>
              <w:rPr>
                <w:rFonts w:ascii="Cambria" w:hAnsi="Cambria" w:eastAsia="Calibri"/>
                <w:b/>
                <w:bCs/>
                <w:szCs w:val="22"/>
                <w:lang w:eastAsia="zh-CN"/>
              </w:rPr>
              <w:t>Dataset/model parameter transfer solution from NW to UE training entity shall follow below principles:</w:t>
            </w:r>
          </w:p>
          <w:p w14:paraId="56EFE37A">
            <w:pPr>
              <w:numPr>
                <w:ilvl w:val="0"/>
                <w:numId w:val="5"/>
              </w:numPr>
              <w:suppressAutoHyphens/>
              <w:spacing w:before="120" w:after="200" w:line="276" w:lineRule="auto"/>
              <w:contextualSpacing/>
              <w:rPr>
                <w:rFonts w:ascii="Cambria" w:hAnsi="Cambria"/>
                <w:lang w:val="en-US" w:eastAsia="zh-CN"/>
              </w:rPr>
            </w:pPr>
            <w:r>
              <w:rPr>
                <w:rFonts w:ascii="Cambria" w:hAnsi="Cambria"/>
                <w:b/>
                <w:bCs/>
                <w:lang w:val="en-US" w:eastAsia="zh-CN"/>
              </w:rPr>
              <w:t>A1 -</w:t>
            </w:r>
            <w:r>
              <w:rPr>
                <w:rFonts w:ascii="Cambria" w:hAnsi="Cambria"/>
                <w:lang w:val="en-US" w:eastAsia="zh-CN"/>
              </w:rPr>
              <w:t xml:space="preserve"> </w:t>
            </w:r>
            <w:r>
              <w:rPr>
                <w:rFonts w:ascii="Cambria" w:hAnsi="Cambria"/>
                <w:b/>
                <w:bCs/>
                <w:lang w:val="en-US" w:eastAsia="zh-CN"/>
              </w:rPr>
              <w:t>Size</w:t>
            </w:r>
            <w:r>
              <w:rPr>
                <w:rFonts w:ascii="Cambria" w:hAnsi="Cambria"/>
                <w:lang w:val="en-US" w:eastAsia="zh-CN"/>
              </w:rPr>
              <w:t>: From RAN2 point of view, RAN2 aims to define a unified solution (e.g. OTA, non-OTA, or a combined) to support various sizes of dataset/model parameter transfer (dataset and/or parameter sharing size could range from tens of KBs to hundreds of MBs, but in average around hundreds of MBs);</w:t>
            </w:r>
          </w:p>
          <w:p w14:paraId="4BF6A73F">
            <w:pPr>
              <w:numPr>
                <w:ilvl w:val="0"/>
                <w:numId w:val="5"/>
              </w:numPr>
              <w:suppressAutoHyphens/>
              <w:spacing w:before="120" w:after="200" w:line="276" w:lineRule="auto"/>
              <w:contextualSpacing/>
              <w:rPr>
                <w:rFonts w:ascii="Cambria" w:hAnsi="Cambria"/>
                <w:lang w:val="en-US" w:eastAsia="zh-CN"/>
              </w:rPr>
            </w:pPr>
            <w:r>
              <w:rPr>
                <w:rFonts w:ascii="Cambria" w:hAnsi="Cambria"/>
                <w:b/>
                <w:bCs/>
                <w:lang w:val="en-US" w:eastAsia="zh-CN"/>
              </w:rPr>
              <w:t>A2 - Continuity</w:t>
            </w:r>
            <w:r>
              <w:rPr>
                <w:rFonts w:ascii="Cambria" w:hAnsi="Cambria"/>
                <w:lang w:val="en-US" w:eastAsia="zh-CN"/>
              </w:rPr>
              <w:t>: Service continuity of dataset and/or parameter transfer/delivery during UE mobility needs to be supported;</w:t>
            </w:r>
          </w:p>
          <w:p w14:paraId="507AF341">
            <w:pPr>
              <w:numPr>
                <w:ilvl w:val="0"/>
                <w:numId w:val="5"/>
              </w:numPr>
              <w:suppressAutoHyphens/>
              <w:spacing w:before="120" w:after="200" w:line="276" w:lineRule="auto"/>
              <w:contextualSpacing/>
              <w:rPr>
                <w:rFonts w:ascii="Cambria" w:hAnsi="Cambria"/>
                <w:lang w:val="en-US" w:eastAsia="zh-CN"/>
              </w:rPr>
            </w:pPr>
            <w:r>
              <w:rPr>
                <w:rFonts w:ascii="Cambria" w:hAnsi="Cambria"/>
                <w:b/>
                <w:bCs/>
                <w:lang w:val="en-US" w:eastAsia="zh-CN"/>
              </w:rPr>
              <w:t>A3 - Controllability</w:t>
            </w:r>
            <w:r>
              <w:rPr>
                <w:rFonts w:ascii="Cambria" w:hAnsi="Cambria"/>
                <w:lang w:val="en-US" w:eastAsia="zh-CN"/>
              </w:rPr>
              <w:t xml:space="preserve">: </w:t>
            </w:r>
            <w:r>
              <w:rPr>
                <w:rFonts w:ascii="Cambria" w:hAnsi="Cambria" w:eastAsia="Calibri"/>
                <w:lang w:val="en-US"/>
              </w:rPr>
              <w:t>NW decides on if and when to transfer/delivery the dataset and/or model parameter from NW to UE or UE training entity (a server inside MNO or an OTT server);</w:t>
            </w:r>
          </w:p>
          <w:p w14:paraId="17D2D683">
            <w:pPr>
              <w:numPr>
                <w:ilvl w:val="0"/>
                <w:numId w:val="5"/>
              </w:numPr>
              <w:suppressAutoHyphens/>
              <w:spacing w:before="120" w:after="200" w:line="276" w:lineRule="auto"/>
              <w:contextualSpacing/>
              <w:rPr>
                <w:rFonts w:ascii="Cambria" w:hAnsi="Cambria"/>
                <w:lang w:val="en-US" w:eastAsia="zh-CN"/>
              </w:rPr>
            </w:pPr>
            <w:r>
              <w:rPr>
                <w:rFonts w:ascii="Cambria" w:hAnsi="Cambria"/>
                <w:b/>
                <w:bCs/>
                <w:lang w:val="en-US" w:eastAsia="zh-CN"/>
              </w:rPr>
              <w:t>A4 - Latency</w:t>
            </w:r>
            <w:r>
              <w:rPr>
                <w:rFonts w:ascii="Cambria" w:hAnsi="Cambria"/>
                <w:lang w:val="en-US" w:eastAsia="zh-CN"/>
              </w:rPr>
              <w:t xml:space="preserve">: </w:t>
            </w:r>
            <w:r>
              <w:rPr>
                <w:rFonts w:ascii="Cambria" w:hAnsi="Cambria" w:eastAsia="Calibri"/>
                <w:lang w:val="en-US"/>
              </w:rPr>
              <w:t>Relaxed latency requirement and infrequent update;</w:t>
            </w:r>
          </w:p>
          <w:p w14:paraId="0E7C2786">
            <w:pPr>
              <w:numPr>
                <w:ilvl w:val="0"/>
                <w:numId w:val="5"/>
              </w:numPr>
              <w:suppressAutoHyphens/>
              <w:spacing w:before="120" w:after="200" w:line="276" w:lineRule="auto"/>
              <w:contextualSpacing/>
              <w:rPr>
                <w:rFonts w:ascii="Cambria" w:hAnsi="Cambria"/>
                <w:lang w:val="en-US" w:eastAsia="zh-CN"/>
              </w:rPr>
            </w:pPr>
            <w:r>
              <w:rPr>
                <w:rFonts w:ascii="Cambria" w:hAnsi="Cambria"/>
                <w:b/>
                <w:bCs/>
                <w:lang w:val="en-US" w:eastAsia="zh-CN"/>
              </w:rPr>
              <w:t>A5 - V</w:t>
            </w:r>
            <w:r>
              <w:rPr>
                <w:rFonts w:ascii="Cambria" w:hAnsi="Cambria" w:eastAsia="Calibri"/>
                <w:b/>
                <w:bCs/>
                <w:lang w:val="en-US"/>
              </w:rPr>
              <w:t>isibility</w:t>
            </w:r>
            <w:r>
              <w:rPr>
                <w:rFonts w:ascii="Cambria" w:hAnsi="Cambria" w:eastAsia="Calibri"/>
                <w:lang w:val="en-US"/>
              </w:rPr>
              <w:t>: dataset and model parameter to be understandable by UE/UE-side training entity (a server inside MNO or an OTT server).</w:t>
            </w:r>
          </w:p>
          <w:p w14:paraId="4C05018B">
            <w:pPr>
              <w:numPr>
                <w:ilvl w:val="0"/>
                <w:numId w:val="5"/>
              </w:numPr>
              <w:suppressAutoHyphens/>
              <w:spacing w:before="120" w:after="200" w:line="276" w:lineRule="auto"/>
              <w:contextualSpacing/>
              <w:rPr>
                <w:rFonts w:ascii="Cambria" w:hAnsi="Cambria"/>
                <w:b/>
                <w:bCs/>
                <w:u w:val="single"/>
                <w:lang w:eastAsia="zh-CN"/>
              </w:rPr>
            </w:pPr>
            <w:r>
              <w:rPr>
                <w:rFonts w:ascii="Cambria" w:hAnsi="Cambria"/>
                <w:b/>
                <w:bCs/>
                <w:lang w:val="en-US" w:eastAsia="zh-CN"/>
              </w:rPr>
              <w:t xml:space="preserve">A6: </w:t>
            </w:r>
            <w:r>
              <w:rPr>
                <w:rFonts w:ascii="Cambria" w:hAnsi="Cambria"/>
                <w:lang w:val="en-US" w:eastAsia="zh-CN"/>
              </w:rPr>
              <w:t>Proprietary information of the network and UE should be respected and not disclosed.</w:t>
            </w:r>
          </w:p>
        </w:tc>
      </w:tr>
    </w:tbl>
    <w:p w14:paraId="14E36A4A">
      <w:pPr>
        <w:rPr>
          <w:b/>
          <w:bCs/>
          <w:lang w:val="en-US" w:eastAsia="zh-CN"/>
        </w:rPr>
      </w:pPr>
      <w:bookmarkStart w:id="4" w:name="_Hlk197545164"/>
    </w:p>
    <w:p w14:paraId="73716262">
      <w:pPr>
        <w:rPr>
          <w:b/>
          <w:bCs/>
          <w:lang w:val="en-US" w:eastAsia="zh-CN"/>
        </w:rPr>
      </w:pPr>
      <w:r>
        <w:rPr>
          <w:rFonts w:hint="eastAsia"/>
          <w:b/>
          <w:bCs/>
          <w:lang w:val="en-US" w:eastAsia="zh-CN"/>
        </w:rPr>
        <w:t xml:space="preserve">Observation 1, The dataset and model parameters </w:t>
      </w:r>
      <w:r>
        <w:rPr>
          <w:b/>
          <w:bCs/>
          <w:lang w:val="en-US" w:eastAsia="zh-CN"/>
        </w:rPr>
        <w:t>can be per UE level or</w:t>
      </w:r>
      <w:r>
        <w:rPr>
          <w:rFonts w:hint="eastAsia"/>
          <w:b/>
          <w:bCs/>
          <w:lang w:val="en-US" w:eastAsia="zh-CN"/>
        </w:rPr>
        <w:t xml:space="preserve"> per-cell and gNB level</w:t>
      </w:r>
      <w:r>
        <w:rPr>
          <w:b/>
          <w:bCs/>
          <w:lang w:val="en-US" w:eastAsia="zh-CN"/>
        </w:rPr>
        <w:t>, it is up to RAN1/RAN2 decision</w:t>
      </w:r>
      <w:r>
        <w:rPr>
          <w:rFonts w:hint="eastAsia"/>
          <w:b/>
          <w:bCs/>
          <w:lang w:val="en-US" w:eastAsia="zh-CN"/>
        </w:rPr>
        <w:t>.</w:t>
      </w:r>
    </w:p>
    <w:p w14:paraId="5FD85112">
      <w:pPr>
        <w:rPr>
          <w:b/>
          <w:bCs/>
          <w:lang w:val="en-US" w:eastAsia="zh-CN"/>
        </w:rPr>
      </w:pPr>
      <w:r>
        <w:rPr>
          <w:rFonts w:hint="eastAsia"/>
          <w:b/>
          <w:bCs/>
          <w:lang w:val="en-US" w:eastAsia="zh-CN"/>
        </w:rPr>
        <w:t>Observation 2: The following characteristics for data transfer should be considered within the scope of RAN3 discussions:</w:t>
      </w:r>
    </w:p>
    <w:p w14:paraId="08AB08F8">
      <w:pPr>
        <w:rPr>
          <w:b/>
          <w:bCs/>
          <w:lang w:val="en-US" w:eastAsia="zh-CN"/>
        </w:rPr>
      </w:pPr>
      <w:r>
        <w:rPr>
          <w:rFonts w:hint="eastAsia"/>
          <w:b/>
          <w:bCs/>
          <w:lang w:val="en-US" w:eastAsia="zh-CN"/>
        </w:rPr>
        <w:t>- Average data size in the hundreds of megabytes</w:t>
      </w:r>
    </w:p>
    <w:p w14:paraId="2483B503">
      <w:pPr>
        <w:rPr>
          <w:b/>
          <w:bCs/>
          <w:lang w:val="en-US" w:eastAsia="zh-CN"/>
        </w:rPr>
      </w:pPr>
      <w:r>
        <w:rPr>
          <w:rFonts w:hint="eastAsia"/>
          <w:b/>
          <w:bCs/>
          <w:lang w:val="en-US" w:eastAsia="zh-CN"/>
        </w:rPr>
        <w:t>- Network-controlled data transfer</w:t>
      </w:r>
    </w:p>
    <w:p w14:paraId="6BC4004A">
      <w:pPr>
        <w:rPr>
          <w:b/>
          <w:bCs/>
          <w:lang w:val="en-US" w:eastAsia="zh-CN"/>
        </w:rPr>
      </w:pPr>
      <w:r>
        <w:rPr>
          <w:rFonts w:hint="eastAsia"/>
          <w:b/>
          <w:bCs/>
          <w:lang w:val="en-US" w:eastAsia="zh-CN"/>
        </w:rPr>
        <w:t>- Relaxed latency requirements</w:t>
      </w:r>
    </w:p>
    <w:p w14:paraId="594C0CAB">
      <w:pPr>
        <w:rPr>
          <w:b/>
          <w:bCs/>
          <w:lang w:val="en-US" w:eastAsia="zh-CN"/>
        </w:rPr>
      </w:pPr>
      <w:r>
        <w:rPr>
          <w:rFonts w:hint="eastAsia"/>
          <w:b/>
          <w:bCs/>
          <w:lang w:val="en-US" w:eastAsia="zh-CN"/>
        </w:rPr>
        <w:t>- Readable by the UE-side training entity</w:t>
      </w:r>
      <w:bookmarkEnd w:id="4"/>
    </w:p>
    <w:p w14:paraId="558EEAA4">
      <w:pPr>
        <w:outlineLvl w:val="1"/>
        <w:rPr>
          <w:b/>
          <w:bCs/>
          <w:u w:val="single"/>
          <w:lang w:val="en-US" w:eastAsia="zh-CN"/>
        </w:rPr>
      </w:pPr>
      <w:r>
        <w:rPr>
          <w:b/>
          <w:bCs/>
          <w:u w:val="single"/>
          <w:lang w:eastAsia="zh-CN"/>
        </w:rPr>
        <w:t>Feasibility analysis</w:t>
      </w:r>
      <w:r>
        <w:rPr>
          <w:rFonts w:hint="eastAsia"/>
          <w:b/>
          <w:bCs/>
          <w:u w:val="single"/>
          <w:lang w:val="en-US" w:eastAsia="zh-CN"/>
        </w:rPr>
        <w:t xml:space="preserve"> on data transfer from gNB to OAM/CN</w:t>
      </w:r>
    </w:p>
    <w:p w14:paraId="66CC6C58">
      <w:pPr>
        <w:rPr>
          <w:lang w:val="en-US" w:eastAsia="zh-CN"/>
        </w:rPr>
      </w:pPr>
      <w:r>
        <w:rPr>
          <w:rFonts w:hint="eastAsia"/>
          <w:lang w:val="en-US" w:eastAsia="zh-CN"/>
        </w:rPr>
        <w:t>In general, from the RAN3 perspective, the requirement is to transfer the</w:t>
      </w:r>
      <w:r>
        <w:rPr>
          <w:lang w:val="en-US" w:eastAsia="zh-CN"/>
        </w:rPr>
        <w:t xml:space="preserve"> </w:t>
      </w:r>
      <w:r>
        <w:rPr>
          <w:rFonts w:hint="eastAsia"/>
          <w:lang w:val="en-US" w:eastAsia="zh-CN"/>
        </w:rPr>
        <w:t>AI data to OAM/CN. Although different options may have different RAN3 impacts (e.g. signaling impact on NG interface or interaction betwe</w:t>
      </w:r>
      <w:r>
        <w:rPr>
          <w:lang w:val="en-US" w:eastAsia="zh-CN"/>
        </w:rPr>
        <w:t>e</w:t>
      </w:r>
      <w:r>
        <w:rPr>
          <w:rFonts w:hint="eastAsia"/>
          <w:lang w:val="en-US" w:eastAsia="zh-CN"/>
        </w:rPr>
        <w:t xml:space="preserve">n gNB and OAM), which are pending further discussion in the normative phase if necessary, it is feasible to support data transfer from gNB to OAM/CN </w:t>
      </w:r>
      <w:r>
        <w:rPr>
          <w:lang w:val="en-US" w:eastAsia="zh-CN"/>
        </w:rPr>
        <w:t xml:space="preserve">based on existing architecture </w:t>
      </w:r>
      <w:r>
        <w:rPr>
          <w:rFonts w:hint="eastAsia"/>
          <w:lang w:val="en-US" w:eastAsia="zh-CN"/>
        </w:rPr>
        <w:t>from the RAN3 perspective.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5077"/>
        <w:gridCol w:w="2529"/>
      </w:tblGrid>
      <w:tr w14:paraId="692CD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0" w:type="dxa"/>
            <w:vAlign w:val="center"/>
          </w:tcPr>
          <w:p w14:paraId="4B6552D8">
            <w:pPr>
              <w:jc w:val="center"/>
              <w:rPr>
                <w:rFonts w:ascii="Cambria" w:hAnsi="Cambria"/>
                <w:lang w:eastAsia="zh-CN"/>
              </w:rPr>
            </w:pPr>
            <w:r>
              <w:rPr>
                <w:rFonts w:ascii="Cambria" w:hAnsi="Cambria"/>
                <w:lang w:eastAsia="zh-CN"/>
              </w:rPr>
              <w:t>Non-OTA approaches</w:t>
            </w:r>
          </w:p>
        </w:tc>
        <w:tc>
          <w:tcPr>
            <w:tcW w:w="5077" w:type="dxa"/>
            <w:vAlign w:val="center"/>
          </w:tcPr>
          <w:p w14:paraId="0928115F">
            <w:pPr>
              <w:jc w:val="center"/>
              <w:rPr>
                <w:rFonts w:ascii="Cambria" w:hAnsi="Cambria"/>
                <w:lang w:eastAsia="zh-CN"/>
              </w:rPr>
            </w:pPr>
            <w:r>
              <w:rPr>
                <w:rFonts w:ascii="Cambria" w:hAnsi="Cambria"/>
                <w:lang w:eastAsia="zh-CN"/>
              </w:rPr>
              <w:t>Feasibility</w:t>
            </w:r>
          </w:p>
        </w:tc>
        <w:tc>
          <w:tcPr>
            <w:tcW w:w="2529" w:type="dxa"/>
            <w:vAlign w:val="center"/>
          </w:tcPr>
          <w:p w14:paraId="612F2860">
            <w:pPr>
              <w:jc w:val="center"/>
              <w:rPr>
                <w:rFonts w:ascii="Cambria" w:hAnsi="Cambria"/>
                <w:lang w:val="en-US" w:eastAsia="zh-CN"/>
              </w:rPr>
            </w:pPr>
            <w:r>
              <w:rPr>
                <w:rFonts w:hint="eastAsia" w:ascii="Cambria" w:hAnsi="Cambria"/>
                <w:lang w:val="en-US" w:eastAsia="zh-CN"/>
              </w:rPr>
              <w:t>RAN3 impacts</w:t>
            </w:r>
          </w:p>
        </w:tc>
      </w:tr>
      <w:tr w14:paraId="30BD8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vAlign w:val="center"/>
          </w:tcPr>
          <w:p w14:paraId="77CAF7E5">
            <w:pPr>
              <w:jc w:val="center"/>
              <w:rPr>
                <w:rFonts w:ascii="Cambria" w:hAnsi="Cambria"/>
                <w:lang w:eastAsia="zh-CN"/>
              </w:rPr>
            </w:pPr>
            <w:r>
              <w:rPr>
                <w:rFonts w:ascii="Cambria" w:hAnsi="Cambria"/>
                <w:lang w:eastAsia="zh-CN"/>
              </w:rPr>
              <w:t>gNB-&gt;OAM</w:t>
            </w:r>
          </w:p>
        </w:tc>
        <w:tc>
          <w:tcPr>
            <w:tcW w:w="5077" w:type="dxa"/>
            <w:vAlign w:val="center"/>
          </w:tcPr>
          <w:p w14:paraId="4095135D">
            <w:pPr>
              <w:jc w:val="center"/>
              <w:rPr>
                <w:rFonts w:ascii="Cambria" w:hAnsi="Cambria"/>
                <w:lang w:val="en-US" w:eastAsia="zh-CN"/>
              </w:rPr>
            </w:pPr>
            <w:r>
              <w:rPr>
                <w:rFonts w:ascii="Cambria" w:hAnsi="Cambria"/>
                <w:lang w:eastAsia="zh-CN"/>
              </w:rPr>
              <w:t xml:space="preserve">It is feasible to transfer the dataset/model parameters from </w:t>
            </w:r>
            <w:r>
              <w:rPr>
                <w:rFonts w:hint="eastAsia" w:ascii="Cambria" w:hAnsi="Cambria"/>
                <w:lang w:eastAsia="zh-CN"/>
              </w:rPr>
              <w:t xml:space="preserve">the </w:t>
            </w:r>
            <w:r>
              <w:rPr>
                <w:rFonts w:ascii="Cambria" w:hAnsi="Cambria"/>
                <w:lang w:eastAsia="zh-CN"/>
              </w:rPr>
              <w:t xml:space="preserve">gNB to </w:t>
            </w:r>
            <w:r>
              <w:rPr>
                <w:rFonts w:hint="eastAsia" w:ascii="Cambria" w:hAnsi="Cambria"/>
                <w:lang w:eastAsia="zh-CN"/>
              </w:rPr>
              <w:t xml:space="preserve">the </w:t>
            </w:r>
            <w:r>
              <w:rPr>
                <w:rFonts w:ascii="Cambria" w:hAnsi="Cambria"/>
                <w:lang w:eastAsia="zh-CN"/>
              </w:rPr>
              <w:t>OAM</w:t>
            </w:r>
            <w:r>
              <w:rPr>
                <w:rFonts w:hint="eastAsia" w:ascii="Cambria" w:hAnsi="Cambria"/>
                <w:lang w:val="en-US" w:eastAsia="zh-CN"/>
              </w:rPr>
              <w:t>. The trace mechanism or a similar mechanism can be reused; for instance, the OAM can indicate the server ID (similar to a TCE-like ID) for data transfer.</w:t>
            </w:r>
            <w:r>
              <w:rPr>
                <w:rFonts w:ascii="Cambria" w:hAnsi="Cambria"/>
                <w:lang w:val="en-US" w:eastAsia="zh-CN"/>
              </w:rPr>
              <w:t xml:space="preserve"> There’s no architecture impact.</w:t>
            </w:r>
          </w:p>
        </w:tc>
        <w:tc>
          <w:tcPr>
            <w:tcW w:w="2529" w:type="dxa"/>
            <w:vAlign w:val="center"/>
          </w:tcPr>
          <w:p w14:paraId="3214A456">
            <w:pPr>
              <w:jc w:val="center"/>
              <w:rPr>
                <w:rFonts w:ascii="Cambria" w:hAnsi="Cambria"/>
                <w:lang w:val="en-US" w:eastAsia="zh-CN"/>
              </w:rPr>
            </w:pPr>
            <w:r>
              <w:rPr>
                <w:rFonts w:hint="eastAsia" w:ascii="Cambria" w:hAnsi="Cambria"/>
                <w:lang w:val="en-US" w:eastAsia="zh-CN"/>
              </w:rPr>
              <w:t>For data transfer: Stage 2 impact</w:t>
            </w:r>
          </w:p>
          <w:p w14:paraId="5CF15101">
            <w:pPr>
              <w:jc w:val="center"/>
              <w:rPr>
                <w:rFonts w:ascii="Cambria" w:hAnsi="Cambria"/>
                <w:lang w:val="en-US" w:eastAsia="zh-CN"/>
              </w:rPr>
            </w:pPr>
            <w:r>
              <w:rPr>
                <w:rFonts w:hint="eastAsia" w:ascii="Cambria" w:hAnsi="Cambria"/>
                <w:lang w:val="en-US" w:eastAsia="zh-CN"/>
              </w:rPr>
              <w:t>For data request, it can be further discussed in normative phase if any</w:t>
            </w:r>
          </w:p>
        </w:tc>
      </w:tr>
      <w:tr w14:paraId="4932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vAlign w:val="center"/>
          </w:tcPr>
          <w:p w14:paraId="718E4D78">
            <w:pPr>
              <w:jc w:val="center"/>
              <w:rPr>
                <w:rFonts w:ascii="Cambria" w:hAnsi="Cambria"/>
                <w:lang w:eastAsia="zh-CN"/>
              </w:rPr>
            </w:pPr>
            <w:r>
              <w:rPr>
                <w:rFonts w:ascii="Cambria" w:hAnsi="Cambria"/>
                <w:lang w:eastAsia="zh-CN"/>
              </w:rPr>
              <w:t>gNB-&gt;CN</w:t>
            </w:r>
          </w:p>
        </w:tc>
        <w:tc>
          <w:tcPr>
            <w:tcW w:w="5077" w:type="dxa"/>
            <w:vAlign w:val="center"/>
          </w:tcPr>
          <w:p w14:paraId="7B3EE8CE">
            <w:pPr>
              <w:jc w:val="center"/>
              <w:rPr>
                <w:rFonts w:ascii="Cambria" w:hAnsi="Cambria"/>
                <w:lang w:val="en-US" w:eastAsia="zh-CN"/>
              </w:rPr>
            </w:pPr>
            <w:r>
              <w:rPr>
                <w:rFonts w:hint="eastAsia" w:ascii="Cambria" w:hAnsi="Cambria"/>
                <w:lang w:val="en-US" w:eastAsia="zh-CN"/>
              </w:rPr>
              <w:t>It is feasible to support the transfer of dataset/model parameters from the gNB to the CN. The CN can then transfer the data to the UE-side training entity, which can be understood as a server, via the NEF, which belongs to the SA2 scope</w:t>
            </w:r>
            <w:r>
              <w:rPr>
                <w:rFonts w:ascii="Cambria" w:hAnsi="Cambria"/>
                <w:lang w:val="en-US" w:eastAsia="zh-CN"/>
              </w:rPr>
              <w:t>[3]</w:t>
            </w:r>
            <w:r>
              <w:rPr>
                <w:rFonts w:hint="eastAsia" w:ascii="Cambria" w:hAnsi="Cambria"/>
                <w:lang w:val="en-US" w:eastAsia="zh-CN"/>
              </w:rPr>
              <w:t>.</w:t>
            </w:r>
            <w:r>
              <w:rPr>
                <w:rFonts w:ascii="Cambria" w:hAnsi="Cambria"/>
                <w:lang w:val="en-US" w:eastAsia="zh-CN"/>
              </w:rPr>
              <w:t xml:space="preserve"> There’s no architecture impact.</w:t>
            </w:r>
          </w:p>
        </w:tc>
        <w:tc>
          <w:tcPr>
            <w:tcW w:w="2529" w:type="dxa"/>
            <w:vAlign w:val="center"/>
          </w:tcPr>
          <w:p w14:paraId="37761C8D">
            <w:pPr>
              <w:jc w:val="center"/>
              <w:rPr>
                <w:rFonts w:ascii="Cambria" w:hAnsi="Cambria"/>
                <w:lang w:val="en-US" w:eastAsia="zh-CN"/>
              </w:rPr>
            </w:pPr>
            <w:r>
              <w:rPr>
                <w:rFonts w:hint="eastAsia" w:ascii="Cambria" w:hAnsi="Cambria"/>
                <w:lang w:val="en-US" w:eastAsia="zh-CN"/>
              </w:rPr>
              <w:t xml:space="preserve">Stage 2 and stage 3 impacts, details pending to the normative phase if any </w:t>
            </w:r>
          </w:p>
        </w:tc>
      </w:tr>
    </w:tbl>
    <w:p w14:paraId="20628CE8">
      <w:pPr>
        <w:rPr>
          <w:lang w:eastAsia="zh-CN"/>
        </w:rPr>
      </w:pPr>
    </w:p>
    <w:p w14:paraId="7FC45C4C">
      <w:pPr>
        <w:rPr>
          <w:b/>
          <w:bCs/>
          <w:lang w:val="en-US" w:eastAsia="zh-CN"/>
        </w:rPr>
      </w:pPr>
      <w:r>
        <w:rPr>
          <w:rFonts w:hint="eastAsia"/>
          <w:b/>
          <w:bCs/>
          <w:lang w:val="en-US" w:eastAsia="zh-CN"/>
        </w:rPr>
        <w:t xml:space="preserve">Observation 3, it is feasible to support data transfer from gNB to OAM/CN </w:t>
      </w:r>
      <w:r>
        <w:rPr>
          <w:b/>
          <w:bCs/>
          <w:lang w:val="en-US" w:eastAsia="zh-CN"/>
        </w:rPr>
        <w:t xml:space="preserve">within existing architecture </w:t>
      </w:r>
      <w:r>
        <w:rPr>
          <w:rFonts w:hint="eastAsia"/>
          <w:b/>
          <w:bCs/>
          <w:lang w:val="en-US" w:eastAsia="zh-CN"/>
        </w:rPr>
        <w:t>from the RAN3 perspective.</w:t>
      </w:r>
    </w:p>
    <w:p w14:paraId="2B15BC68">
      <w:pPr>
        <w:rPr>
          <w:b/>
          <w:bCs/>
          <w:lang w:val="en-US" w:eastAsia="zh-CN"/>
        </w:rPr>
      </w:pPr>
      <w:r>
        <w:rPr>
          <w:rFonts w:hint="eastAsia"/>
          <w:b/>
          <w:bCs/>
          <w:lang w:val="en-US" w:eastAsia="zh-CN"/>
        </w:rPr>
        <w:t xml:space="preserve">Observation 4, signalling enhancements may be needed with Rel-19 architecture framework, but the details are pending to further discussion. </w:t>
      </w:r>
    </w:p>
    <w:p w14:paraId="7BE9B1BA">
      <w:pPr>
        <w:rPr>
          <w:b/>
          <w:lang w:val="en-US" w:eastAsia="zh-CN"/>
        </w:rPr>
      </w:pPr>
      <w:r>
        <w:rPr>
          <w:rFonts w:hint="eastAsia"/>
          <w:b/>
          <w:lang w:val="en-US" w:eastAsia="zh-CN"/>
        </w:rPr>
        <w:t>Proposal 2, RAN3 reply to RAN2</w:t>
      </w:r>
      <w:r>
        <w:rPr>
          <w:b/>
          <w:lang w:val="en-US" w:eastAsia="zh-CN"/>
        </w:rPr>
        <w:t xml:space="preserve"> and RAN1</w:t>
      </w:r>
      <w:r>
        <w:rPr>
          <w:rFonts w:hint="eastAsia"/>
          <w:b/>
          <w:lang w:val="en-US" w:eastAsia="zh-CN"/>
        </w:rPr>
        <w:t>, cc SA2, SA5 that it is feasible to support data transfer from gNB to OAM/CN</w:t>
      </w:r>
      <w:r>
        <w:rPr>
          <w:b/>
          <w:lang w:val="en-US" w:eastAsia="zh-CN"/>
        </w:rPr>
        <w:t xml:space="preserve"> </w:t>
      </w:r>
      <w:r>
        <w:rPr>
          <w:b/>
          <w:bCs/>
          <w:lang w:val="en-US" w:eastAsia="zh-CN"/>
        </w:rPr>
        <w:t>within existing architecture</w:t>
      </w:r>
      <w:r>
        <w:rPr>
          <w:rFonts w:hint="eastAsia"/>
          <w:b/>
          <w:lang w:val="en-US" w:eastAsia="zh-CN"/>
        </w:rPr>
        <w:t xml:space="preserve"> from the RAN3 perspective.</w:t>
      </w:r>
    </w:p>
    <w:p w14:paraId="4F542581">
      <w:pPr>
        <w:pStyle w:val="2"/>
        <w:rPr>
          <w:rFonts w:cs="Arial"/>
        </w:rPr>
      </w:pPr>
      <w:r>
        <w:rPr>
          <w:rFonts w:cs="Arial"/>
        </w:rPr>
        <w:t>3</w:t>
      </w:r>
      <w:r>
        <w:rPr>
          <w:rFonts w:cs="Arial"/>
        </w:rPr>
        <w:tab/>
      </w:r>
      <w:r>
        <w:rPr>
          <w:rFonts w:cs="Arial"/>
        </w:rPr>
        <w:t>Conclusion</w:t>
      </w:r>
    </w:p>
    <w:p w14:paraId="6A2FA64B">
      <w:pPr>
        <w:rPr>
          <w:lang w:val="en-US"/>
        </w:rPr>
      </w:pPr>
      <w:r>
        <w:t xml:space="preserve">In this contribution, we </w:t>
      </w:r>
      <w:r>
        <w:rPr>
          <w:rFonts w:hint="eastAsia"/>
          <w:lang w:eastAsia="zh-CN"/>
        </w:rPr>
        <w:t>discuss</w:t>
      </w:r>
      <w:r>
        <w:rPr>
          <w:rFonts w:hint="eastAsia"/>
          <w:lang w:val="en-US" w:eastAsia="zh-CN"/>
        </w:rPr>
        <w:t xml:space="preserve"> the RAN2 LS on the signaling feasibility of dataset and parameter sharing and provide the RAN3 discussion scope and analysis on the data transfer from gNB to OAM/CN, and a draft reply LS is also provided in the Annex, having the following observations and proposals: </w:t>
      </w:r>
    </w:p>
    <w:p w14:paraId="410B82AF">
      <w:pPr>
        <w:rPr>
          <w:b/>
          <w:bCs/>
          <w:lang w:eastAsia="zh-CN"/>
        </w:rPr>
      </w:pPr>
      <w:r>
        <w:rPr>
          <w:b/>
          <w:bCs/>
          <w:lang w:eastAsia="zh-CN"/>
        </w:rPr>
        <w:t xml:space="preserve">Proposal 1, RAN3 only focus on </w:t>
      </w:r>
      <w:r>
        <w:rPr>
          <w:rFonts w:hint="eastAsia"/>
          <w:b/>
          <w:bCs/>
          <w:lang w:val="en-US" w:eastAsia="zh-CN"/>
        </w:rPr>
        <w:t xml:space="preserve">the feasibility of the </w:t>
      </w:r>
      <w:r>
        <w:rPr>
          <w:b/>
          <w:bCs/>
          <w:lang w:eastAsia="zh-CN"/>
        </w:rPr>
        <w:t>data transfer from gNB to OAM/CN and confirm RAN2’s assumption on whether it can be supported within Rel-19 existing architecture framework.</w:t>
      </w:r>
    </w:p>
    <w:p w14:paraId="71A13B94">
      <w:pPr>
        <w:rPr>
          <w:b/>
          <w:bCs/>
          <w:lang w:val="en-US" w:eastAsia="zh-CN"/>
        </w:rPr>
      </w:pPr>
      <w:r>
        <w:rPr>
          <w:rFonts w:hint="eastAsia"/>
          <w:b/>
          <w:bCs/>
          <w:lang w:val="en-US" w:eastAsia="zh-CN"/>
        </w:rPr>
        <w:t xml:space="preserve">Observation 1, The dataset and model parameters </w:t>
      </w:r>
      <w:r>
        <w:rPr>
          <w:b/>
          <w:bCs/>
          <w:lang w:val="en-US" w:eastAsia="zh-CN"/>
        </w:rPr>
        <w:t xml:space="preserve">can be per UE level or </w:t>
      </w:r>
      <w:r>
        <w:rPr>
          <w:rFonts w:hint="eastAsia"/>
          <w:b/>
          <w:bCs/>
          <w:lang w:val="en-US" w:eastAsia="zh-CN"/>
        </w:rPr>
        <w:t>per-cell and gNB level</w:t>
      </w:r>
      <w:r>
        <w:rPr>
          <w:b/>
          <w:bCs/>
          <w:lang w:val="en-US" w:eastAsia="zh-CN"/>
        </w:rPr>
        <w:t>,</w:t>
      </w:r>
      <w:r>
        <w:t xml:space="preserve"> </w:t>
      </w:r>
      <w:r>
        <w:rPr>
          <w:b/>
          <w:bCs/>
          <w:lang w:val="en-US" w:eastAsia="zh-CN"/>
        </w:rPr>
        <w:t>it is up to RAN1/RAN2 decision.</w:t>
      </w:r>
    </w:p>
    <w:p w14:paraId="51778BF5">
      <w:pPr>
        <w:rPr>
          <w:b/>
          <w:bCs/>
          <w:lang w:val="en-US" w:eastAsia="zh-CN"/>
        </w:rPr>
      </w:pPr>
      <w:r>
        <w:rPr>
          <w:rFonts w:hint="eastAsia"/>
          <w:b/>
          <w:bCs/>
          <w:lang w:val="en-US" w:eastAsia="zh-CN"/>
        </w:rPr>
        <w:t>Observation 2: The following characteristics for data transfer should be considered within the scope of RAN3 discussions:</w:t>
      </w:r>
    </w:p>
    <w:p w14:paraId="7241251F">
      <w:pPr>
        <w:rPr>
          <w:b/>
          <w:bCs/>
          <w:lang w:val="en-US" w:eastAsia="zh-CN"/>
        </w:rPr>
      </w:pPr>
      <w:r>
        <w:rPr>
          <w:rFonts w:hint="eastAsia"/>
          <w:b/>
          <w:bCs/>
          <w:lang w:val="en-US" w:eastAsia="zh-CN"/>
        </w:rPr>
        <w:t>- Average data size in the hundreds of megabytes</w:t>
      </w:r>
    </w:p>
    <w:p w14:paraId="4839FE69">
      <w:pPr>
        <w:rPr>
          <w:b/>
          <w:bCs/>
          <w:lang w:val="en-US" w:eastAsia="zh-CN"/>
        </w:rPr>
      </w:pPr>
      <w:r>
        <w:rPr>
          <w:rFonts w:hint="eastAsia"/>
          <w:b/>
          <w:bCs/>
          <w:lang w:val="en-US" w:eastAsia="zh-CN"/>
        </w:rPr>
        <w:t>- Network-controlled data transfer</w:t>
      </w:r>
    </w:p>
    <w:p w14:paraId="73E1EE90">
      <w:pPr>
        <w:rPr>
          <w:b/>
          <w:bCs/>
          <w:lang w:val="en-US" w:eastAsia="zh-CN"/>
        </w:rPr>
      </w:pPr>
      <w:r>
        <w:rPr>
          <w:rFonts w:hint="eastAsia"/>
          <w:b/>
          <w:bCs/>
          <w:lang w:val="en-US" w:eastAsia="zh-CN"/>
        </w:rPr>
        <w:t>- Relaxed latency requirements</w:t>
      </w:r>
    </w:p>
    <w:p w14:paraId="3D8A0425">
      <w:pPr>
        <w:rPr>
          <w:b/>
          <w:bCs/>
          <w:lang w:val="en-US" w:eastAsia="zh-CN"/>
        </w:rPr>
      </w:pPr>
      <w:r>
        <w:rPr>
          <w:rFonts w:hint="eastAsia"/>
          <w:b/>
          <w:bCs/>
          <w:lang w:val="en-US" w:eastAsia="zh-CN"/>
        </w:rPr>
        <w:t>- Readable by the UE-side training entity</w:t>
      </w:r>
    </w:p>
    <w:p w14:paraId="72CDE6C4">
      <w:pPr>
        <w:rPr>
          <w:b/>
          <w:bCs/>
          <w:lang w:val="en-US" w:eastAsia="zh-CN"/>
        </w:rPr>
      </w:pPr>
      <w:r>
        <w:rPr>
          <w:rFonts w:hint="eastAsia"/>
          <w:b/>
          <w:bCs/>
          <w:lang w:val="en-US" w:eastAsia="zh-CN"/>
        </w:rPr>
        <w:t>Observation 3, it is feasible to support data transfer from gNB to OAM/CN from the RAN3 perspective.</w:t>
      </w:r>
    </w:p>
    <w:p w14:paraId="601AD98C">
      <w:pPr>
        <w:rPr>
          <w:b/>
          <w:bCs/>
          <w:lang w:val="en-US" w:eastAsia="zh-CN"/>
        </w:rPr>
      </w:pPr>
      <w:r>
        <w:rPr>
          <w:rFonts w:hint="eastAsia"/>
          <w:b/>
          <w:bCs/>
          <w:lang w:val="en-US" w:eastAsia="zh-CN"/>
        </w:rPr>
        <w:t xml:space="preserve">Observation 4, signalling enhancements may be needed with Rel-19 architecture framework, but the details are pending to further discussion. </w:t>
      </w:r>
    </w:p>
    <w:p w14:paraId="0118C2E1">
      <w:pPr>
        <w:rPr>
          <w:b/>
          <w:bCs/>
          <w:lang w:eastAsia="zh-CN"/>
        </w:rPr>
      </w:pPr>
      <w:r>
        <w:rPr>
          <w:rFonts w:hint="eastAsia"/>
          <w:b/>
          <w:lang w:val="en-US" w:eastAsia="zh-CN"/>
        </w:rPr>
        <w:t>Proposal 2, RAN3 reply to RAN2 and RAN1, cc SA2, SA5, SA3 that it is feasible to support data transfer from gNB to OAM/CN from the RAN3 perspective.</w:t>
      </w:r>
    </w:p>
    <w:p w14:paraId="2DF8DE3F">
      <w:pPr>
        <w:pStyle w:val="2"/>
        <w:rPr>
          <w:rFonts w:cs="Arial"/>
        </w:rPr>
      </w:pPr>
      <w:r>
        <w:rPr>
          <w:rFonts w:cs="Arial"/>
        </w:rPr>
        <w:t>4</w:t>
      </w:r>
      <w:r>
        <w:rPr>
          <w:rFonts w:cs="Arial"/>
        </w:rPr>
        <w:tab/>
      </w:r>
      <w:r>
        <w:rPr>
          <w:rFonts w:cs="Arial"/>
        </w:rPr>
        <w:t>Reference</w:t>
      </w:r>
    </w:p>
    <w:p w14:paraId="3F72ECAE">
      <w:pPr>
        <w:rPr>
          <w:lang w:eastAsia="zh-CN"/>
        </w:rPr>
      </w:pPr>
      <w:r>
        <w:rPr>
          <w:lang w:eastAsia="zh-CN"/>
        </w:rPr>
        <w:t>[1]</w:t>
      </w:r>
      <w:r>
        <w:t xml:space="preserve"> </w:t>
      </w:r>
      <w:r>
        <w:rPr>
          <w:rFonts w:hint="eastAsia"/>
        </w:rPr>
        <w:t xml:space="preserve"> </w:t>
      </w:r>
      <w:r>
        <w:rPr>
          <w:lang w:eastAsia="zh-CN"/>
        </w:rPr>
        <w:t>R2-2500015 (R1-2410922), LS on signalling feasibility of dataset and parameter sharing, RAN1</w:t>
      </w:r>
    </w:p>
    <w:p w14:paraId="36EEB3BA">
      <w:pPr>
        <w:rPr>
          <w:lang w:val="en-US" w:eastAsia="zh-CN"/>
        </w:rPr>
      </w:pPr>
      <w:r>
        <w:rPr>
          <w:lang w:eastAsia="zh-CN"/>
        </w:rPr>
        <w:t>[2]</w:t>
      </w:r>
      <w:r>
        <w:rPr>
          <w:rFonts w:hint="eastAsia"/>
          <w:lang w:eastAsia="zh-CN"/>
        </w:rPr>
        <w:t xml:space="preserve"> </w:t>
      </w:r>
      <w:r>
        <w:rPr>
          <w:rFonts w:hint="eastAsia"/>
          <w:lang w:val="en-US" w:eastAsia="zh-CN"/>
        </w:rPr>
        <w:t xml:space="preserve"> </w:t>
      </w:r>
      <w:r>
        <w:rPr>
          <w:rFonts w:hint="eastAsia"/>
          <w:lang w:eastAsia="zh-CN"/>
        </w:rPr>
        <w:t>R3-253010</w:t>
      </w:r>
      <w:r>
        <w:rPr>
          <w:rFonts w:hint="eastAsia"/>
          <w:lang w:val="en-US" w:eastAsia="zh-CN"/>
        </w:rPr>
        <w:t>(R2-2503169), Reply LS on signalling feasibility of dataset and parameter sharing, RAN2</w:t>
      </w:r>
    </w:p>
    <w:p w14:paraId="7E71C6ED">
      <w:pPr>
        <w:rPr>
          <w:lang w:val="en-US" w:eastAsia="zh-CN"/>
        </w:rPr>
      </w:pPr>
      <w:r>
        <w:rPr>
          <w:lang w:eastAsia="zh-CN"/>
        </w:rPr>
        <w:t>[3]</w:t>
      </w:r>
      <w:r>
        <w:rPr>
          <w:rFonts w:hint="eastAsia"/>
          <w:lang w:eastAsia="zh-CN"/>
        </w:rPr>
        <w:t xml:space="preserve"> </w:t>
      </w:r>
      <w:r>
        <w:rPr>
          <w:rFonts w:hint="eastAsia"/>
          <w:lang w:val="en-US" w:eastAsia="zh-CN"/>
        </w:rPr>
        <w:t xml:space="preserve"> S2-2505025</w:t>
      </w:r>
      <w:bookmarkStart w:id="12" w:name="_GoBack"/>
      <w:bookmarkEnd w:id="12"/>
      <w:r>
        <w:rPr>
          <w:rFonts w:hint="eastAsia"/>
          <w:lang w:val="en-US" w:eastAsia="zh-CN"/>
        </w:rPr>
        <w:t xml:space="preserve">, </w:t>
      </w:r>
      <w:r>
        <w:rPr>
          <w:lang w:val="en-US" w:eastAsia="zh-CN"/>
        </w:rPr>
        <w:t>Discussion on signalling feasibility of dataset and parameter sharing</w:t>
      </w:r>
      <w:r>
        <w:rPr>
          <w:rFonts w:hint="eastAsia"/>
          <w:lang w:val="en-US" w:eastAsia="zh-CN"/>
        </w:rPr>
        <w:t xml:space="preserve">, </w:t>
      </w:r>
      <w:r>
        <w:rPr>
          <w:lang w:val="en-US" w:eastAsia="zh-CN"/>
        </w:rPr>
        <w:t>Xiaomi</w:t>
      </w:r>
    </w:p>
    <w:p w14:paraId="6DE96290">
      <w:pPr>
        <w:pStyle w:val="2"/>
        <w:rPr>
          <w:rFonts w:cs="Arial"/>
        </w:rPr>
      </w:pPr>
      <w:r>
        <w:rPr>
          <w:rFonts w:cs="Arial"/>
        </w:rPr>
        <w:t>5</w:t>
      </w:r>
      <w:r>
        <w:rPr>
          <w:rFonts w:cs="Arial"/>
        </w:rPr>
        <w:tab/>
      </w:r>
      <w:r>
        <w:rPr>
          <w:rFonts w:cs="Arial"/>
        </w:rPr>
        <w:t>Draft LS reply</w:t>
      </w:r>
    </w:p>
    <w:p w14:paraId="2D7720E1">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Cs/>
          <w:sz w:val="22"/>
          <w:szCs w:val="22"/>
        </w:rPr>
        <w:t>Reply LS on signalling feasibility of dataset and parameter sharing</w:t>
      </w:r>
    </w:p>
    <w:p w14:paraId="4E35273D">
      <w:pPr>
        <w:spacing w:after="60"/>
        <w:ind w:left="1985" w:hanging="1985"/>
        <w:rPr>
          <w:rFonts w:ascii="Arial" w:hAnsi="Arial" w:cs="Arial"/>
          <w:b/>
          <w:bCs/>
          <w:sz w:val="22"/>
          <w:szCs w:val="22"/>
        </w:rPr>
      </w:pPr>
      <w:bookmarkStart w:id="5" w:name="OLE_LINK58"/>
      <w:bookmarkStart w:id="6" w:name="OLE_LINK57"/>
      <w:r>
        <w:rPr>
          <w:rFonts w:ascii="Arial" w:hAnsi="Arial" w:cs="Arial"/>
          <w:b/>
          <w:sz w:val="22"/>
          <w:szCs w:val="22"/>
        </w:rPr>
        <w:t>Response to:</w:t>
      </w:r>
      <w:r>
        <w:rPr>
          <w:rFonts w:ascii="Arial" w:hAnsi="Arial" w:cs="Arial"/>
          <w:b/>
          <w:bCs/>
          <w:sz w:val="22"/>
          <w:szCs w:val="22"/>
        </w:rPr>
        <w:tab/>
      </w:r>
      <w:r>
        <w:rPr>
          <w:rFonts w:hint="eastAsia" w:ascii="Arial" w:hAnsi="Arial" w:cs="Arial"/>
          <w:sz w:val="22"/>
          <w:szCs w:val="22"/>
        </w:rPr>
        <w:t>R3-253010</w:t>
      </w:r>
      <w:r>
        <w:rPr>
          <w:rFonts w:ascii="Arial" w:hAnsi="Arial" w:cs="Arial"/>
          <w:sz w:val="22"/>
          <w:szCs w:val="22"/>
        </w:rPr>
        <w:t xml:space="preserve"> (R2-2503169)</w:t>
      </w:r>
    </w:p>
    <w:bookmarkEnd w:id="5"/>
    <w:bookmarkEnd w:id="6"/>
    <w:p w14:paraId="682F1E48">
      <w:pPr>
        <w:spacing w:after="60"/>
        <w:ind w:left="1985" w:hanging="1985"/>
        <w:rPr>
          <w:rFonts w:ascii="Arial" w:hAnsi="Arial" w:cs="Arial"/>
          <w:b/>
          <w:bCs/>
          <w:sz w:val="22"/>
          <w:szCs w:val="22"/>
        </w:rPr>
      </w:pPr>
      <w:bookmarkStart w:id="7" w:name="OLE_LINK61"/>
      <w:bookmarkStart w:id="8" w:name="OLE_LINK59"/>
      <w:bookmarkStart w:id="9" w:name="OLE_LINK60"/>
      <w:r>
        <w:rPr>
          <w:rFonts w:ascii="Arial" w:hAnsi="Arial" w:cs="Arial"/>
          <w:b/>
          <w:sz w:val="22"/>
          <w:szCs w:val="22"/>
        </w:rPr>
        <w:t>Release:</w:t>
      </w:r>
      <w:r>
        <w:rPr>
          <w:rFonts w:ascii="Arial" w:hAnsi="Arial" w:cs="Arial"/>
          <w:b/>
          <w:bCs/>
          <w:sz w:val="22"/>
          <w:szCs w:val="22"/>
        </w:rPr>
        <w:tab/>
      </w:r>
      <w:r>
        <w:rPr>
          <w:rFonts w:ascii="Arial" w:hAnsi="Arial" w:cs="Arial"/>
          <w:sz w:val="22"/>
          <w:szCs w:val="22"/>
        </w:rPr>
        <w:t>Release 19</w:t>
      </w:r>
    </w:p>
    <w:bookmarkEnd w:id="7"/>
    <w:bookmarkEnd w:id="8"/>
    <w:bookmarkEnd w:id="9"/>
    <w:p w14:paraId="72A9A92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NR_AIML_air-Core</w:t>
      </w:r>
    </w:p>
    <w:p w14:paraId="71CB9782">
      <w:pPr>
        <w:spacing w:after="60"/>
        <w:ind w:left="1985" w:hanging="1985"/>
        <w:rPr>
          <w:rFonts w:ascii="Arial" w:hAnsi="Arial" w:cs="Arial"/>
          <w:b/>
          <w:sz w:val="22"/>
          <w:szCs w:val="22"/>
        </w:rPr>
      </w:pPr>
    </w:p>
    <w:p w14:paraId="2A803BC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RAN3</w:t>
      </w:r>
    </w:p>
    <w:p w14:paraId="148139C0">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sz w:val="22"/>
          <w:szCs w:val="22"/>
        </w:rPr>
        <w:t>RAN2, RAN1</w:t>
      </w:r>
    </w:p>
    <w:p w14:paraId="3C913E09">
      <w:pPr>
        <w:spacing w:after="60"/>
        <w:ind w:left="1985" w:hanging="1985"/>
        <w:rPr>
          <w:rFonts w:hint="default" w:ascii="Arial" w:hAnsi="Arial" w:eastAsia="宋体" w:cs="Arial"/>
          <w:b/>
          <w:bCs/>
          <w:sz w:val="22"/>
          <w:szCs w:val="22"/>
          <w:lang w:val="en-US" w:eastAsia="zh-CN"/>
        </w:rPr>
      </w:pPr>
      <w:bookmarkStart w:id="10" w:name="OLE_LINK46"/>
      <w:bookmarkStart w:id="11" w:name="OLE_LINK45"/>
      <w:r>
        <w:rPr>
          <w:rFonts w:ascii="Arial" w:hAnsi="Arial" w:cs="Arial"/>
          <w:b/>
          <w:sz w:val="22"/>
          <w:szCs w:val="22"/>
        </w:rPr>
        <w:t>Cc:</w:t>
      </w:r>
      <w:r>
        <w:rPr>
          <w:rFonts w:ascii="Arial" w:hAnsi="Arial" w:cs="Arial"/>
          <w:b/>
          <w:bCs/>
          <w:sz w:val="22"/>
          <w:szCs w:val="22"/>
        </w:rPr>
        <w:tab/>
      </w:r>
      <w:r>
        <w:rPr>
          <w:rFonts w:ascii="Arial" w:hAnsi="Arial" w:cs="Arial"/>
          <w:sz w:val="22"/>
          <w:szCs w:val="22"/>
        </w:rPr>
        <w:t>SA2, SA5</w:t>
      </w:r>
      <w:r>
        <w:rPr>
          <w:rFonts w:hint="eastAsia" w:ascii="Arial" w:hAnsi="Arial" w:cs="Arial"/>
          <w:sz w:val="22"/>
          <w:szCs w:val="22"/>
          <w:lang w:val="en-US" w:eastAsia="zh-CN"/>
        </w:rPr>
        <w:t>, SA3</w:t>
      </w:r>
    </w:p>
    <w:bookmarkEnd w:id="10"/>
    <w:bookmarkEnd w:id="11"/>
    <w:p w14:paraId="2B05BD75">
      <w:pPr>
        <w:spacing w:after="60"/>
        <w:ind w:left="1985" w:hanging="1985"/>
        <w:rPr>
          <w:rFonts w:ascii="Arial" w:hAnsi="Arial" w:cs="Arial"/>
          <w:bCs/>
        </w:rPr>
      </w:pPr>
    </w:p>
    <w:p w14:paraId="1641F158">
      <w:pPr>
        <w:spacing w:after="60"/>
        <w:ind w:left="1985" w:hanging="1985"/>
        <w:rPr>
          <w:rFonts w:ascii="Arial" w:hAnsi="Arial" w:cs="Arial"/>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Lisi Li</w:t>
      </w:r>
    </w:p>
    <w:p w14:paraId="7AD48D83">
      <w:pPr>
        <w:spacing w:after="60"/>
        <w:ind w:left="1265" w:firstLine="720"/>
        <w:rPr>
          <w:rFonts w:ascii="Arial" w:hAnsi="Arial" w:cs="Arial"/>
          <w:sz w:val="22"/>
          <w:szCs w:val="22"/>
        </w:rPr>
      </w:pPr>
      <w:r>
        <w:rPr>
          <w:rFonts w:ascii="Arial" w:hAnsi="Arial" w:cs="Arial"/>
          <w:sz w:val="22"/>
          <w:szCs w:val="22"/>
        </w:rPr>
        <w:t xml:space="preserve">lilisi@xiaomi.com </w:t>
      </w:r>
    </w:p>
    <w:p w14:paraId="4745E4E8">
      <w:pPr>
        <w:spacing w:after="60"/>
        <w:rPr>
          <w:rFonts w:ascii="Arial" w:hAnsi="Arial" w:cs="Arial"/>
          <w:sz w:val="22"/>
          <w:szCs w:val="22"/>
        </w:rPr>
      </w:pPr>
    </w:p>
    <w:p w14:paraId="5F6B7E1B">
      <w:pPr>
        <w:spacing w:after="60"/>
        <w:rPr>
          <w:rFonts w:ascii="Arial" w:hAnsi="Arial" w:cs="Arial"/>
          <w:b/>
          <w:sz w:val="22"/>
          <w:szCs w:val="22"/>
        </w:rPr>
      </w:pPr>
      <w:r>
        <w:rPr>
          <w:rFonts w:ascii="Arial" w:hAnsi="Arial" w:cs="Arial"/>
          <w:b/>
          <w:sz w:val="22"/>
          <w:szCs w:val="22"/>
        </w:rPr>
        <w:t>Send any reply LS to:</w:t>
      </w:r>
      <w:r>
        <w:rPr>
          <w:rFonts w:ascii="Arial" w:hAnsi="Arial" w:cs="Arial"/>
          <w:bCs/>
          <w:sz w:val="22"/>
          <w:szCs w:val="22"/>
        </w:rPr>
        <w:t xml:space="preserve"> 3GPP Liaisons Coordinator, </w:t>
      </w:r>
      <w:r>
        <w:fldChar w:fldCharType="begin"/>
      </w:r>
      <w:r>
        <w:instrText xml:space="preserve"> HYPERLINK "mailto:3GPPLiaison@etsi.org" </w:instrText>
      </w:r>
      <w:r>
        <w:fldChar w:fldCharType="separate"/>
      </w:r>
      <w:r>
        <w:rPr>
          <w:rStyle w:val="51"/>
          <w:rFonts w:ascii="Arial" w:hAnsi="Arial" w:cs="Arial"/>
          <w:bCs/>
          <w:sz w:val="22"/>
          <w:szCs w:val="22"/>
        </w:rPr>
        <w:t>mailto:3GPPLiaison@etsi.org</w:t>
      </w:r>
      <w:r>
        <w:rPr>
          <w:rStyle w:val="51"/>
          <w:rFonts w:ascii="Arial" w:hAnsi="Arial" w:cs="Arial"/>
          <w:bCs/>
          <w:sz w:val="22"/>
          <w:szCs w:val="22"/>
        </w:rPr>
        <w:fldChar w:fldCharType="end"/>
      </w:r>
    </w:p>
    <w:p w14:paraId="39D1CC3E">
      <w:pPr>
        <w:spacing w:after="60"/>
        <w:ind w:left="1985" w:hanging="1985"/>
        <w:rPr>
          <w:rFonts w:ascii="Arial" w:hAnsi="Arial" w:cs="Arial"/>
          <w:b/>
        </w:rPr>
      </w:pPr>
    </w:p>
    <w:p w14:paraId="409538B8">
      <w:pPr>
        <w:spacing w:after="60"/>
        <w:ind w:left="1985" w:hanging="1985"/>
        <w:rPr>
          <w:rFonts w:ascii="Arial" w:hAnsi="Arial" w:cs="Arial"/>
          <w:bCs/>
        </w:rPr>
      </w:pPr>
      <w:r>
        <w:rPr>
          <w:rFonts w:ascii="Arial" w:hAnsi="Arial" w:cs="Arial"/>
          <w:b/>
        </w:rPr>
        <w:t>Attachments:</w:t>
      </w:r>
      <w:r>
        <w:rPr>
          <w:rFonts w:ascii="Arial" w:hAnsi="Arial" w:cs="Arial"/>
          <w:bCs/>
        </w:rPr>
        <w:tab/>
      </w:r>
    </w:p>
    <w:p w14:paraId="37ADCEA6">
      <w:pPr>
        <w:rPr>
          <w:rFonts w:ascii="Arial" w:hAnsi="Arial" w:cs="Arial"/>
        </w:rPr>
      </w:pPr>
    </w:p>
    <w:p w14:paraId="21DD8E0C">
      <w:pPr>
        <w:pStyle w:val="2"/>
      </w:pPr>
      <w:r>
        <w:t>1</w:t>
      </w:r>
      <w:r>
        <w:tab/>
      </w:r>
      <w:r>
        <w:t>Overall description</w:t>
      </w:r>
    </w:p>
    <w:p w14:paraId="4B9F30BC">
      <w:pPr>
        <w:rPr>
          <w:rFonts w:ascii="Arial" w:hAnsi="Arial" w:cs="Arial"/>
          <w:bCs/>
          <w:sz w:val="22"/>
          <w:szCs w:val="22"/>
        </w:rPr>
      </w:pPr>
      <w:r>
        <w:rPr>
          <w:rFonts w:ascii="Arial" w:hAnsi="Arial" w:cs="Arial"/>
        </w:rPr>
        <w:t>RAN3 thanks RAN2 LS on</w:t>
      </w:r>
      <w:r>
        <w:rPr>
          <w:rFonts w:ascii="Arial" w:hAnsi="Arial" w:cs="Arial"/>
          <w:bCs/>
          <w:sz w:val="22"/>
          <w:szCs w:val="22"/>
        </w:rPr>
        <w:t xml:space="preserve"> signalling feasibility of dataset and parameter sharing.</w:t>
      </w:r>
    </w:p>
    <w:p w14:paraId="351D75FD">
      <w:pPr>
        <w:rPr>
          <w:rFonts w:ascii="Arial" w:hAnsi="Arial" w:cs="Arial"/>
          <w:bCs/>
          <w:sz w:val="22"/>
          <w:szCs w:val="22"/>
          <w:lang w:val="en-US" w:eastAsia="zh-CN"/>
        </w:rPr>
      </w:pPr>
      <w:r>
        <w:rPr>
          <w:rFonts w:hint="eastAsia" w:ascii="Arial" w:hAnsi="Arial" w:cs="Arial"/>
          <w:bCs/>
          <w:sz w:val="22"/>
          <w:szCs w:val="22"/>
          <w:lang w:eastAsia="zh-CN"/>
        </w:rPr>
        <w:t>RAN3 considers it feasible to support the transfer of</w:t>
      </w:r>
      <w:r>
        <w:rPr>
          <w:rFonts w:ascii="Arial" w:hAnsi="Arial" w:cs="Arial"/>
          <w:bCs/>
          <w:sz w:val="22"/>
          <w:szCs w:val="22"/>
          <w:lang w:eastAsia="zh-CN"/>
        </w:rPr>
        <w:t xml:space="preserve"> dataset/model parameters from gNB to OAM/CN </w:t>
      </w:r>
      <w:r>
        <w:rPr>
          <w:rFonts w:hint="eastAsia" w:ascii="Arial" w:hAnsi="Arial" w:cs="Arial"/>
          <w:bCs/>
          <w:sz w:val="22"/>
          <w:szCs w:val="22"/>
          <w:lang w:val="en-US" w:eastAsia="zh-CN"/>
        </w:rPr>
        <w:t xml:space="preserve">in </w:t>
      </w:r>
      <w:r>
        <w:rPr>
          <w:rFonts w:hint="eastAsia" w:ascii="Arial" w:hAnsi="Arial" w:cs="Arial"/>
          <w:bCs/>
          <w:sz w:val="22"/>
          <w:szCs w:val="22"/>
          <w:lang w:eastAsia="zh-CN"/>
        </w:rPr>
        <w:t>th</w:t>
      </w:r>
      <w:r>
        <w:rPr>
          <w:rFonts w:ascii="Arial" w:hAnsi="Arial" w:cs="Arial"/>
          <w:bCs/>
          <w:sz w:val="22"/>
          <w:szCs w:val="22"/>
          <w:lang w:eastAsia="zh-CN"/>
        </w:rPr>
        <w:t xml:space="preserve">e non-OTA approach, </w:t>
      </w:r>
      <w:r>
        <w:rPr>
          <w:rFonts w:hint="eastAsia" w:ascii="Arial" w:hAnsi="Arial" w:cs="Arial"/>
          <w:bCs/>
          <w:sz w:val="22"/>
          <w:szCs w:val="22"/>
          <w:lang w:val="en-US" w:eastAsia="zh-CN"/>
        </w:rPr>
        <w:t>with possible signaling enhancements within the</w:t>
      </w:r>
      <w:r>
        <w:rPr>
          <w:rFonts w:ascii="Arial" w:hAnsi="Arial" w:cs="Arial"/>
          <w:bCs/>
          <w:sz w:val="22"/>
          <w:szCs w:val="22"/>
          <w:lang w:eastAsia="zh-CN"/>
        </w:rPr>
        <w:t xml:space="preserve"> exi</w:t>
      </w:r>
      <w:r>
        <w:rPr>
          <w:rFonts w:hint="eastAsia" w:ascii="Arial" w:hAnsi="Arial" w:cs="Arial"/>
          <w:bCs/>
          <w:sz w:val="22"/>
          <w:szCs w:val="22"/>
          <w:lang w:eastAsia="zh-CN"/>
        </w:rPr>
        <w:t>sting Rel-19</w:t>
      </w:r>
      <w:r>
        <w:rPr>
          <w:rFonts w:ascii="Arial" w:hAnsi="Arial" w:cs="Arial"/>
          <w:bCs/>
          <w:sz w:val="22"/>
          <w:szCs w:val="22"/>
          <w:lang w:eastAsia="zh-CN"/>
        </w:rPr>
        <w:t xml:space="preserve"> architecture framework from RAN</w:t>
      </w:r>
      <w:r>
        <w:rPr>
          <w:rFonts w:hint="eastAsia" w:ascii="Arial" w:hAnsi="Arial" w:cs="Arial"/>
          <w:bCs/>
          <w:sz w:val="22"/>
          <w:szCs w:val="22"/>
          <w:lang w:eastAsia="zh-CN"/>
        </w:rPr>
        <w:t>3's</w:t>
      </w:r>
      <w:r>
        <w:rPr>
          <w:rFonts w:ascii="Arial" w:hAnsi="Arial" w:cs="Arial"/>
          <w:bCs/>
          <w:sz w:val="22"/>
          <w:szCs w:val="22"/>
          <w:lang w:eastAsia="zh-CN"/>
        </w:rPr>
        <w:t xml:space="preserve"> perspective.</w:t>
      </w:r>
    </w:p>
    <w:p w14:paraId="46442EA5">
      <w:pPr>
        <w:pStyle w:val="2"/>
      </w:pPr>
      <w:r>
        <w:t>2</w:t>
      </w:r>
      <w:r>
        <w:tab/>
      </w:r>
      <w:r>
        <w:t>Actions</w:t>
      </w:r>
    </w:p>
    <w:p w14:paraId="40BE5193">
      <w:pPr>
        <w:spacing w:after="120"/>
        <w:ind w:left="1985" w:hanging="1985"/>
        <w:rPr>
          <w:rFonts w:ascii="Arial" w:hAnsi="Arial" w:cs="Arial"/>
          <w:b/>
          <w:lang w:val="en-US" w:eastAsia="zh-CN"/>
        </w:rPr>
      </w:pPr>
      <w:r>
        <w:rPr>
          <w:rFonts w:ascii="Arial" w:hAnsi="Arial" w:cs="Arial"/>
          <w:b/>
        </w:rPr>
        <w:t>To RAN2</w:t>
      </w:r>
      <w:r>
        <w:rPr>
          <w:rFonts w:hint="eastAsia" w:ascii="Arial" w:hAnsi="Arial" w:cs="Arial"/>
          <w:b/>
          <w:lang w:val="en-US" w:eastAsia="zh-CN"/>
        </w:rPr>
        <w:t>, RAN1</w:t>
      </w:r>
    </w:p>
    <w:p w14:paraId="604C41E0">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RAN3 respectfully requests RAN2</w:t>
      </w:r>
      <w:r>
        <w:rPr>
          <w:rFonts w:hint="eastAsia" w:ascii="Arial" w:hAnsi="Arial" w:cs="Arial"/>
          <w:lang w:val="en-US" w:eastAsia="zh-CN"/>
        </w:rPr>
        <w:t xml:space="preserve"> and RAN1</w:t>
      </w:r>
      <w:r>
        <w:rPr>
          <w:rFonts w:ascii="Arial" w:hAnsi="Arial" w:cs="Arial"/>
        </w:rPr>
        <w:t xml:space="preserve"> to take above replies into account in future discussion.</w:t>
      </w:r>
    </w:p>
    <w:p w14:paraId="68882788">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RAN</w:t>
      </w:r>
      <w:r>
        <w:rPr>
          <w:rFonts w:cs="Arial"/>
          <w:bCs/>
          <w:szCs w:val="36"/>
        </w:rPr>
        <w:t xml:space="preserve"> WG 3</w:t>
      </w:r>
      <w:r>
        <w:rPr>
          <w:szCs w:val="36"/>
        </w:rPr>
        <w:t xml:space="preserve"> meetings</w:t>
      </w:r>
    </w:p>
    <w:p w14:paraId="4A618198">
      <w:pPr>
        <w:tabs>
          <w:tab w:val="left" w:pos="3119"/>
        </w:tabs>
        <w:spacing w:after="120"/>
        <w:ind w:left="2268" w:hanging="2268"/>
        <w:rPr>
          <w:rFonts w:ascii="Arial" w:hAnsi="Arial" w:eastAsia="Yu Mincho" w:cs="Arial"/>
          <w:bCs/>
        </w:rPr>
      </w:pPr>
      <w:r>
        <w:rPr>
          <w:rFonts w:ascii="Arial" w:hAnsi="Arial" w:eastAsia="Yu Mincho" w:cs="Arial"/>
          <w:bCs/>
        </w:rPr>
        <w:t>TSG-RAN3 Meeting #12</w:t>
      </w:r>
      <w:r>
        <w:rPr>
          <w:rFonts w:hint="eastAsia" w:ascii="Arial" w:hAnsi="Arial" w:cs="Arial"/>
          <w:bCs/>
          <w:lang w:val="en-US" w:eastAsia="zh-CN"/>
        </w:rPr>
        <w:t>9</w:t>
      </w:r>
      <w:r>
        <w:rPr>
          <w:rFonts w:ascii="Arial" w:hAnsi="Arial" w:eastAsia="Yu Mincho" w:cs="Arial"/>
          <w:bCs/>
        </w:rPr>
        <w:tab/>
      </w:r>
      <w:r>
        <w:rPr>
          <w:rFonts w:hint="eastAsia" w:ascii="Arial" w:hAnsi="Arial" w:cs="Arial"/>
          <w:bCs/>
          <w:lang w:val="en-US" w:eastAsia="zh-CN"/>
        </w:rPr>
        <w:t>25</w:t>
      </w:r>
      <w:r>
        <w:rPr>
          <w:rFonts w:ascii="Arial" w:hAnsi="Arial" w:eastAsia="Yu Mincho" w:cs="Arial"/>
          <w:bCs/>
        </w:rPr>
        <w:t>-2</w:t>
      </w:r>
      <w:r>
        <w:rPr>
          <w:rFonts w:hint="eastAsia" w:ascii="Arial" w:hAnsi="Arial" w:cs="Arial"/>
          <w:bCs/>
          <w:lang w:val="en-US" w:eastAsia="zh-CN"/>
        </w:rPr>
        <w:t>8</w:t>
      </w:r>
      <w:r>
        <w:rPr>
          <w:rFonts w:ascii="Arial" w:hAnsi="Arial" w:eastAsia="Yu Mincho" w:cs="Arial"/>
          <w:bCs/>
        </w:rPr>
        <w:t xml:space="preserve"> </w:t>
      </w:r>
      <w:r>
        <w:rPr>
          <w:rFonts w:hint="eastAsia" w:ascii="Arial" w:hAnsi="Arial" w:cs="Arial"/>
          <w:bCs/>
          <w:lang w:val="en-US" w:eastAsia="zh-CN"/>
        </w:rPr>
        <w:t xml:space="preserve">Aug </w:t>
      </w:r>
      <w:r>
        <w:rPr>
          <w:rFonts w:ascii="Arial" w:hAnsi="Arial" w:eastAsia="Yu Mincho" w:cs="Arial"/>
          <w:bCs/>
        </w:rPr>
        <w:t>202</w:t>
      </w:r>
      <w:r>
        <w:rPr>
          <w:rFonts w:hint="eastAsia" w:ascii="Arial" w:hAnsi="Arial" w:cs="Arial"/>
          <w:bCs/>
          <w:lang w:val="en-US" w:eastAsia="zh-CN"/>
        </w:rPr>
        <w:t>5</w:t>
      </w:r>
      <w:r>
        <w:rPr>
          <w:rFonts w:ascii="Arial" w:hAnsi="Arial" w:eastAsia="Yu Mincho" w:cs="Arial"/>
          <w:bCs/>
        </w:rPr>
        <w:tab/>
      </w:r>
      <w:r>
        <w:rPr>
          <w:rFonts w:ascii="Arial" w:hAnsi="Arial" w:eastAsia="Yu Mincho" w:cs="Arial"/>
          <w:bCs/>
        </w:rPr>
        <w:tab/>
      </w:r>
      <w:r>
        <w:rPr>
          <w:rFonts w:ascii="Arial" w:hAnsi="Arial" w:eastAsia="Yu Mincho" w:cs="Arial"/>
          <w:bCs/>
        </w:rPr>
        <w:tab/>
      </w:r>
      <w:r>
        <w:rPr>
          <w:rFonts w:hint="eastAsia" w:ascii="Arial" w:hAnsi="Arial" w:cs="Arial"/>
          <w:bCs/>
          <w:lang w:val="en-US" w:eastAsia="zh-CN"/>
        </w:rPr>
        <w:t xml:space="preserve"> </w:t>
      </w:r>
      <w:r>
        <w:rPr>
          <w:rFonts w:hint="eastAsia" w:ascii="Arial" w:hAnsi="Arial" w:eastAsia="Yu Mincho" w:cs="Arial"/>
          <w:bCs/>
        </w:rPr>
        <w:t>Bangalore, IN</w:t>
      </w:r>
    </w:p>
    <w:p w14:paraId="19B5815B">
      <w:pPr>
        <w:tabs>
          <w:tab w:val="left" w:pos="3119"/>
        </w:tabs>
        <w:spacing w:after="120"/>
        <w:ind w:left="2268" w:hanging="2268"/>
        <w:rPr>
          <w:rFonts w:ascii="Arial" w:hAnsi="Arial" w:eastAsia="Yu Mincho" w:cs="Arial"/>
          <w:bCs/>
        </w:rPr>
      </w:pPr>
      <w:r>
        <w:rPr>
          <w:rFonts w:ascii="Arial" w:hAnsi="Arial" w:eastAsia="Yu Mincho" w:cs="Arial"/>
          <w:bCs/>
        </w:rPr>
        <w:t>TSG-RAN3 Meeting #12</w:t>
      </w:r>
      <w:r>
        <w:rPr>
          <w:rFonts w:hint="eastAsia" w:ascii="Arial" w:hAnsi="Arial" w:cs="Arial"/>
          <w:bCs/>
          <w:lang w:val="en-US" w:eastAsia="zh-CN"/>
        </w:rPr>
        <w:t>9-bis</w:t>
      </w:r>
      <w:r>
        <w:rPr>
          <w:rFonts w:ascii="Arial" w:hAnsi="Arial" w:eastAsia="Yu Mincho" w:cs="Arial"/>
          <w:bCs/>
        </w:rPr>
        <w:tab/>
      </w:r>
      <w:r>
        <w:rPr>
          <w:rFonts w:ascii="Arial" w:hAnsi="Arial" w:eastAsia="Yu Mincho" w:cs="Arial"/>
          <w:bCs/>
        </w:rPr>
        <w:t>1</w:t>
      </w:r>
      <w:r>
        <w:rPr>
          <w:rFonts w:hint="eastAsia" w:ascii="Arial" w:hAnsi="Arial" w:cs="Arial"/>
          <w:bCs/>
          <w:lang w:val="en-US" w:eastAsia="zh-CN"/>
        </w:rPr>
        <w:t>3</w:t>
      </w:r>
      <w:r>
        <w:rPr>
          <w:rFonts w:ascii="Arial" w:hAnsi="Arial" w:eastAsia="Yu Mincho" w:cs="Arial"/>
          <w:bCs/>
        </w:rPr>
        <w:t>-</w:t>
      </w:r>
      <w:r>
        <w:rPr>
          <w:rFonts w:hint="eastAsia" w:ascii="Arial" w:hAnsi="Arial" w:cs="Arial"/>
          <w:bCs/>
          <w:lang w:val="en-US" w:eastAsia="zh-CN"/>
        </w:rPr>
        <w:t>17</w:t>
      </w:r>
      <w:r>
        <w:rPr>
          <w:rFonts w:ascii="Arial" w:hAnsi="Arial" w:eastAsia="Yu Mincho" w:cs="Arial"/>
          <w:bCs/>
        </w:rPr>
        <w:t xml:space="preserve"> </w:t>
      </w:r>
      <w:r>
        <w:rPr>
          <w:rFonts w:hint="eastAsia" w:ascii="Arial" w:hAnsi="Arial" w:cs="Arial"/>
          <w:bCs/>
          <w:lang w:val="en-US" w:eastAsia="zh-CN"/>
        </w:rPr>
        <w:t>Oct</w:t>
      </w:r>
      <w:r>
        <w:rPr>
          <w:rFonts w:ascii="Arial" w:hAnsi="Arial" w:eastAsia="Yu Mincho" w:cs="Arial"/>
          <w:bCs/>
        </w:rPr>
        <w:t xml:space="preserve"> 2025</w:t>
      </w:r>
      <w:r>
        <w:rPr>
          <w:rFonts w:ascii="Arial" w:hAnsi="Arial" w:eastAsia="Yu Mincho" w:cs="Arial"/>
          <w:bCs/>
        </w:rPr>
        <w:tab/>
      </w:r>
      <w:r>
        <w:rPr>
          <w:rFonts w:ascii="Arial" w:hAnsi="Arial" w:eastAsia="Yu Mincho" w:cs="Arial"/>
          <w:bCs/>
        </w:rPr>
        <w:tab/>
      </w:r>
      <w:r>
        <w:rPr>
          <w:rFonts w:ascii="Arial" w:hAnsi="Arial" w:eastAsia="Yu Mincho" w:cs="Arial"/>
          <w:bCs/>
        </w:rPr>
        <w:tab/>
      </w:r>
      <w:r>
        <w:rPr>
          <w:rFonts w:hint="eastAsia" w:ascii="Arial" w:hAnsi="Arial" w:eastAsia="Yu Mincho" w:cs="Arial"/>
          <w:bCs/>
        </w:rPr>
        <w:t xml:space="preserve"> Prague, CZ</w:t>
      </w:r>
    </w:p>
    <w:p w14:paraId="4FB0CCD7"/>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4D7B06"/>
    <w:multiLevelType w:val="multilevel"/>
    <w:tmpl w:val="0D4D7B0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F615E8A"/>
    <w:multiLevelType w:val="multilevel"/>
    <w:tmpl w:val="2F615E8A"/>
    <w:lvl w:ilvl="0" w:tentative="0">
      <w:start w:val="1"/>
      <w:numFmt w:val="decimal"/>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2"/>
  </w:num>
  <w:num w:numId="4">
    <w:abstractNumId w:val="1"/>
    <w:lvlOverride w:ilvl="0">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1123F"/>
    <w:rsid w:val="00021025"/>
    <w:rsid w:val="000277C6"/>
    <w:rsid w:val="00027B47"/>
    <w:rsid w:val="00027D1F"/>
    <w:rsid w:val="0003263B"/>
    <w:rsid w:val="00033397"/>
    <w:rsid w:val="000342C7"/>
    <w:rsid w:val="00040095"/>
    <w:rsid w:val="00040F2E"/>
    <w:rsid w:val="000432BE"/>
    <w:rsid w:val="00044BAF"/>
    <w:rsid w:val="00045D5B"/>
    <w:rsid w:val="00046597"/>
    <w:rsid w:val="000473C8"/>
    <w:rsid w:val="00050C8D"/>
    <w:rsid w:val="0005556A"/>
    <w:rsid w:val="0005563E"/>
    <w:rsid w:val="000560CA"/>
    <w:rsid w:val="0006134F"/>
    <w:rsid w:val="00061D3E"/>
    <w:rsid w:val="00067A73"/>
    <w:rsid w:val="0007020B"/>
    <w:rsid w:val="00071924"/>
    <w:rsid w:val="0007425B"/>
    <w:rsid w:val="00077009"/>
    <w:rsid w:val="00080512"/>
    <w:rsid w:val="00081E95"/>
    <w:rsid w:val="00082450"/>
    <w:rsid w:val="00083D7A"/>
    <w:rsid w:val="00083F0D"/>
    <w:rsid w:val="000904E9"/>
    <w:rsid w:val="00096CCA"/>
    <w:rsid w:val="000971F0"/>
    <w:rsid w:val="000A0D66"/>
    <w:rsid w:val="000A1743"/>
    <w:rsid w:val="000A351B"/>
    <w:rsid w:val="000A7363"/>
    <w:rsid w:val="000B7BCF"/>
    <w:rsid w:val="000C1506"/>
    <w:rsid w:val="000C2287"/>
    <w:rsid w:val="000C556D"/>
    <w:rsid w:val="000C6EC1"/>
    <w:rsid w:val="000D376D"/>
    <w:rsid w:val="000D3772"/>
    <w:rsid w:val="000D517B"/>
    <w:rsid w:val="000D58AB"/>
    <w:rsid w:val="000E383B"/>
    <w:rsid w:val="000F0435"/>
    <w:rsid w:val="000F1DB2"/>
    <w:rsid w:val="000F28D7"/>
    <w:rsid w:val="000F48F6"/>
    <w:rsid w:val="000F4985"/>
    <w:rsid w:val="000F693F"/>
    <w:rsid w:val="000F74ED"/>
    <w:rsid w:val="001033A8"/>
    <w:rsid w:val="00104879"/>
    <w:rsid w:val="00104AD1"/>
    <w:rsid w:val="00106654"/>
    <w:rsid w:val="001070BE"/>
    <w:rsid w:val="001075B7"/>
    <w:rsid w:val="001140E9"/>
    <w:rsid w:val="001151DF"/>
    <w:rsid w:val="00117CC9"/>
    <w:rsid w:val="00123492"/>
    <w:rsid w:val="00123D11"/>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0977"/>
    <w:rsid w:val="001744AC"/>
    <w:rsid w:val="0017527C"/>
    <w:rsid w:val="00175D44"/>
    <w:rsid w:val="001768A2"/>
    <w:rsid w:val="00177B74"/>
    <w:rsid w:val="001821D4"/>
    <w:rsid w:val="00190CAC"/>
    <w:rsid w:val="00191A27"/>
    <w:rsid w:val="001923EC"/>
    <w:rsid w:val="00194CD0"/>
    <w:rsid w:val="00195757"/>
    <w:rsid w:val="0019788D"/>
    <w:rsid w:val="001A1B13"/>
    <w:rsid w:val="001A3EE7"/>
    <w:rsid w:val="001A5DD2"/>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1F717E"/>
    <w:rsid w:val="0020434B"/>
    <w:rsid w:val="00205781"/>
    <w:rsid w:val="00207DBB"/>
    <w:rsid w:val="00221DFE"/>
    <w:rsid w:val="00225F6D"/>
    <w:rsid w:val="0022606D"/>
    <w:rsid w:val="002305DD"/>
    <w:rsid w:val="00233CC8"/>
    <w:rsid w:val="00235BBD"/>
    <w:rsid w:val="00236010"/>
    <w:rsid w:val="00243BC7"/>
    <w:rsid w:val="00245B92"/>
    <w:rsid w:val="00250D89"/>
    <w:rsid w:val="00252E02"/>
    <w:rsid w:val="00254164"/>
    <w:rsid w:val="002546FB"/>
    <w:rsid w:val="0025725C"/>
    <w:rsid w:val="00261ACD"/>
    <w:rsid w:val="002623FC"/>
    <w:rsid w:val="00262858"/>
    <w:rsid w:val="002636AF"/>
    <w:rsid w:val="002637D7"/>
    <w:rsid w:val="00263960"/>
    <w:rsid w:val="00267FC2"/>
    <w:rsid w:val="00270B56"/>
    <w:rsid w:val="002747EC"/>
    <w:rsid w:val="00282C3E"/>
    <w:rsid w:val="002855BF"/>
    <w:rsid w:val="002868BC"/>
    <w:rsid w:val="00294C07"/>
    <w:rsid w:val="002953B2"/>
    <w:rsid w:val="00295576"/>
    <w:rsid w:val="00297799"/>
    <w:rsid w:val="00297AEC"/>
    <w:rsid w:val="002A0CFD"/>
    <w:rsid w:val="002A1993"/>
    <w:rsid w:val="002A371D"/>
    <w:rsid w:val="002A500A"/>
    <w:rsid w:val="002B4906"/>
    <w:rsid w:val="002B548A"/>
    <w:rsid w:val="002B68D0"/>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6402"/>
    <w:rsid w:val="00307249"/>
    <w:rsid w:val="00307733"/>
    <w:rsid w:val="00307911"/>
    <w:rsid w:val="00312076"/>
    <w:rsid w:val="0031275F"/>
    <w:rsid w:val="00316684"/>
    <w:rsid w:val="003172DC"/>
    <w:rsid w:val="00321D4B"/>
    <w:rsid w:val="003238E8"/>
    <w:rsid w:val="00326069"/>
    <w:rsid w:val="00332548"/>
    <w:rsid w:val="00340595"/>
    <w:rsid w:val="003405D1"/>
    <w:rsid w:val="00342065"/>
    <w:rsid w:val="003454FC"/>
    <w:rsid w:val="0034752C"/>
    <w:rsid w:val="00347702"/>
    <w:rsid w:val="003532DA"/>
    <w:rsid w:val="00353B12"/>
    <w:rsid w:val="0035462D"/>
    <w:rsid w:val="00363177"/>
    <w:rsid w:val="00363988"/>
    <w:rsid w:val="00366122"/>
    <w:rsid w:val="003671F9"/>
    <w:rsid w:val="003677D1"/>
    <w:rsid w:val="003702F7"/>
    <w:rsid w:val="003709C0"/>
    <w:rsid w:val="00370F20"/>
    <w:rsid w:val="00371459"/>
    <w:rsid w:val="003717A7"/>
    <w:rsid w:val="00376E7E"/>
    <w:rsid w:val="00380949"/>
    <w:rsid w:val="003809B6"/>
    <w:rsid w:val="00381DC6"/>
    <w:rsid w:val="00384326"/>
    <w:rsid w:val="00385F81"/>
    <w:rsid w:val="00386801"/>
    <w:rsid w:val="00390477"/>
    <w:rsid w:val="00391136"/>
    <w:rsid w:val="003922A0"/>
    <w:rsid w:val="00395231"/>
    <w:rsid w:val="00396836"/>
    <w:rsid w:val="003A08E9"/>
    <w:rsid w:val="003A1733"/>
    <w:rsid w:val="003A1B90"/>
    <w:rsid w:val="003A7351"/>
    <w:rsid w:val="003B3FB3"/>
    <w:rsid w:val="003B5FD6"/>
    <w:rsid w:val="003B61E3"/>
    <w:rsid w:val="003C097A"/>
    <w:rsid w:val="003C3FBC"/>
    <w:rsid w:val="003C41D2"/>
    <w:rsid w:val="003C4E37"/>
    <w:rsid w:val="003E1194"/>
    <w:rsid w:val="003E16BE"/>
    <w:rsid w:val="003E23BB"/>
    <w:rsid w:val="003E6DCE"/>
    <w:rsid w:val="003E7223"/>
    <w:rsid w:val="003F0EA3"/>
    <w:rsid w:val="003F2DB8"/>
    <w:rsid w:val="003F6AC5"/>
    <w:rsid w:val="00401855"/>
    <w:rsid w:val="00404075"/>
    <w:rsid w:val="00406760"/>
    <w:rsid w:val="00416698"/>
    <w:rsid w:val="00416D43"/>
    <w:rsid w:val="004213E4"/>
    <w:rsid w:val="004242C7"/>
    <w:rsid w:val="00427002"/>
    <w:rsid w:val="00431A24"/>
    <w:rsid w:val="00435D2E"/>
    <w:rsid w:val="00442405"/>
    <w:rsid w:val="00442724"/>
    <w:rsid w:val="00445584"/>
    <w:rsid w:val="00445C4B"/>
    <w:rsid w:val="004550F1"/>
    <w:rsid w:val="00455983"/>
    <w:rsid w:val="0046211F"/>
    <w:rsid w:val="00462679"/>
    <w:rsid w:val="00464695"/>
    <w:rsid w:val="00466465"/>
    <w:rsid w:val="00466BAB"/>
    <w:rsid w:val="00467E60"/>
    <w:rsid w:val="0047092A"/>
    <w:rsid w:val="00472C9A"/>
    <w:rsid w:val="00473E5E"/>
    <w:rsid w:val="00480706"/>
    <w:rsid w:val="0048072A"/>
    <w:rsid w:val="004824C0"/>
    <w:rsid w:val="00491FB4"/>
    <w:rsid w:val="004969C2"/>
    <w:rsid w:val="004A0AA2"/>
    <w:rsid w:val="004A12B2"/>
    <w:rsid w:val="004A34F2"/>
    <w:rsid w:val="004A72DB"/>
    <w:rsid w:val="004C21E3"/>
    <w:rsid w:val="004C280C"/>
    <w:rsid w:val="004C3033"/>
    <w:rsid w:val="004C3A38"/>
    <w:rsid w:val="004C53DC"/>
    <w:rsid w:val="004C5539"/>
    <w:rsid w:val="004D2F29"/>
    <w:rsid w:val="004D3324"/>
    <w:rsid w:val="004D3578"/>
    <w:rsid w:val="004D380D"/>
    <w:rsid w:val="004D3F58"/>
    <w:rsid w:val="004D5E47"/>
    <w:rsid w:val="004E0173"/>
    <w:rsid w:val="004E06CA"/>
    <w:rsid w:val="004E139F"/>
    <w:rsid w:val="004E213A"/>
    <w:rsid w:val="004E21FC"/>
    <w:rsid w:val="004E4018"/>
    <w:rsid w:val="004E45AC"/>
    <w:rsid w:val="004E6C01"/>
    <w:rsid w:val="004F2460"/>
    <w:rsid w:val="004F493F"/>
    <w:rsid w:val="004F7DA6"/>
    <w:rsid w:val="00501CA6"/>
    <w:rsid w:val="00503171"/>
    <w:rsid w:val="0050524C"/>
    <w:rsid w:val="00510A7B"/>
    <w:rsid w:val="005110FD"/>
    <w:rsid w:val="0051142E"/>
    <w:rsid w:val="0051469F"/>
    <w:rsid w:val="00514F96"/>
    <w:rsid w:val="005153FE"/>
    <w:rsid w:val="00516249"/>
    <w:rsid w:val="00522FC8"/>
    <w:rsid w:val="005240A4"/>
    <w:rsid w:val="0052590D"/>
    <w:rsid w:val="005300E9"/>
    <w:rsid w:val="00530426"/>
    <w:rsid w:val="00531C12"/>
    <w:rsid w:val="005323B3"/>
    <w:rsid w:val="00534DA0"/>
    <w:rsid w:val="005361A0"/>
    <w:rsid w:val="005369EB"/>
    <w:rsid w:val="005379B5"/>
    <w:rsid w:val="00540B31"/>
    <w:rsid w:val="00541777"/>
    <w:rsid w:val="00543E6C"/>
    <w:rsid w:val="00544635"/>
    <w:rsid w:val="00544EE2"/>
    <w:rsid w:val="005461F1"/>
    <w:rsid w:val="00552076"/>
    <w:rsid w:val="00552D49"/>
    <w:rsid w:val="0055393E"/>
    <w:rsid w:val="00554621"/>
    <w:rsid w:val="00557E1D"/>
    <w:rsid w:val="005626DD"/>
    <w:rsid w:val="00562985"/>
    <w:rsid w:val="00562FDC"/>
    <w:rsid w:val="00563B87"/>
    <w:rsid w:val="00565087"/>
    <w:rsid w:val="0056573F"/>
    <w:rsid w:val="00565BE9"/>
    <w:rsid w:val="0057115D"/>
    <w:rsid w:val="005716A3"/>
    <w:rsid w:val="00571CE2"/>
    <w:rsid w:val="0057478E"/>
    <w:rsid w:val="0057579F"/>
    <w:rsid w:val="0058390A"/>
    <w:rsid w:val="00587958"/>
    <w:rsid w:val="0059207C"/>
    <w:rsid w:val="00593FA8"/>
    <w:rsid w:val="005A05B8"/>
    <w:rsid w:val="005A2CFE"/>
    <w:rsid w:val="005A2F33"/>
    <w:rsid w:val="005A4135"/>
    <w:rsid w:val="005A47AD"/>
    <w:rsid w:val="005A4971"/>
    <w:rsid w:val="005B082F"/>
    <w:rsid w:val="005B1232"/>
    <w:rsid w:val="005B16FB"/>
    <w:rsid w:val="005B2EEF"/>
    <w:rsid w:val="005B3E71"/>
    <w:rsid w:val="005B5F2D"/>
    <w:rsid w:val="005C335B"/>
    <w:rsid w:val="005C7301"/>
    <w:rsid w:val="005D0F3B"/>
    <w:rsid w:val="005D1438"/>
    <w:rsid w:val="005D1B08"/>
    <w:rsid w:val="005D4274"/>
    <w:rsid w:val="005D554A"/>
    <w:rsid w:val="005D5A45"/>
    <w:rsid w:val="005E3C56"/>
    <w:rsid w:val="005E5C4A"/>
    <w:rsid w:val="005F1BD4"/>
    <w:rsid w:val="005F221A"/>
    <w:rsid w:val="005F59D9"/>
    <w:rsid w:val="005F5CE8"/>
    <w:rsid w:val="00601AF8"/>
    <w:rsid w:val="00605E3E"/>
    <w:rsid w:val="0060613A"/>
    <w:rsid w:val="006062FF"/>
    <w:rsid w:val="00606DA9"/>
    <w:rsid w:val="00611566"/>
    <w:rsid w:val="00611D47"/>
    <w:rsid w:val="00616F15"/>
    <w:rsid w:val="00616F9D"/>
    <w:rsid w:val="00617197"/>
    <w:rsid w:val="00620198"/>
    <w:rsid w:val="0062495E"/>
    <w:rsid w:val="00627125"/>
    <w:rsid w:val="006327AD"/>
    <w:rsid w:val="0063512B"/>
    <w:rsid w:val="00636DA6"/>
    <w:rsid w:val="006400B0"/>
    <w:rsid w:val="00645F3F"/>
    <w:rsid w:val="0065042D"/>
    <w:rsid w:val="006515B8"/>
    <w:rsid w:val="006538D4"/>
    <w:rsid w:val="006542E1"/>
    <w:rsid w:val="006547BA"/>
    <w:rsid w:val="006550EA"/>
    <w:rsid w:val="006553A7"/>
    <w:rsid w:val="00656E1E"/>
    <w:rsid w:val="00657C6F"/>
    <w:rsid w:val="006604E4"/>
    <w:rsid w:val="006626AA"/>
    <w:rsid w:val="00670F86"/>
    <w:rsid w:val="00671BA7"/>
    <w:rsid w:val="00673EBA"/>
    <w:rsid w:val="006750C6"/>
    <w:rsid w:val="00676565"/>
    <w:rsid w:val="0067782C"/>
    <w:rsid w:val="00683A48"/>
    <w:rsid w:val="006912EF"/>
    <w:rsid w:val="0069181E"/>
    <w:rsid w:val="0069372D"/>
    <w:rsid w:val="00694CEB"/>
    <w:rsid w:val="00697E26"/>
    <w:rsid w:val="006A0614"/>
    <w:rsid w:val="006A3625"/>
    <w:rsid w:val="006A3B6F"/>
    <w:rsid w:val="006A53E4"/>
    <w:rsid w:val="006B130F"/>
    <w:rsid w:val="006B2FE8"/>
    <w:rsid w:val="006B354A"/>
    <w:rsid w:val="006B36A5"/>
    <w:rsid w:val="006B3E5D"/>
    <w:rsid w:val="006B42C5"/>
    <w:rsid w:val="006B62CA"/>
    <w:rsid w:val="006B75FF"/>
    <w:rsid w:val="006C03CE"/>
    <w:rsid w:val="006C4235"/>
    <w:rsid w:val="006C54B5"/>
    <w:rsid w:val="006D1E24"/>
    <w:rsid w:val="006D41D1"/>
    <w:rsid w:val="006D5175"/>
    <w:rsid w:val="006E046B"/>
    <w:rsid w:val="006E126F"/>
    <w:rsid w:val="006E2255"/>
    <w:rsid w:val="006F4169"/>
    <w:rsid w:val="006F5BD6"/>
    <w:rsid w:val="006F70C2"/>
    <w:rsid w:val="0070147B"/>
    <w:rsid w:val="007028CC"/>
    <w:rsid w:val="00702BDF"/>
    <w:rsid w:val="00704E40"/>
    <w:rsid w:val="00711EEF"/>
    <w:rsid w:val="007122B0"/>
    <w:rsid w:val="0071262D"/>
    <w:rsid w:val="00716BBA"/>
    <w:rsid w:val="00724120"/>
    <w:rsid w:val="00725595"/>
    <w:rsid w:val="007304F5"/>
    <w:rsid w:val="0073139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08C8"/>
    <w:rsid w:val="00761841"/>
    <w:rsid w:val="00765C68"/>
    <w:rsid w:val="00766526"/>
    <w:rsid w:val="00767CDA"/>
    <w:rsid w:val="0077054F"/>
    <w:rsid w:val="00773C76"/>
    <w:rsid w:val="00774151"/>
    <w:rsid w:val="00774846"/>
    <w:rsid w:val="00776271"/>
    <w:rsid w:val="00776AC6"/>
    <w:rsid w:val="00780E8E"/>
    <w:rsid w:val="007819A5"/>
    <w:rsid w:val="00781F0F"/>
    <w:rsid w:val="007827B3"/>
    <w:rsid w:val="007839CD"/>
    <w:rsid w:val="0078727C"/>
    <w:rsid w:val="00791FEB"/>
    <w:rsid w:val="00792F5E"/>
    <w:rsid w:val="00797225"/>
    <w:rsid w:val="00797D4B"/>
    <w:rsid w:val="007A0BB5"/>
    <w:rsid w:val="007B506D"/>
    <w:rsid w:val="007C041A"/>
    <w:rsid w:val="007C0757"/>
    <w:rsid w:val="007C095F"/>
    <w:rsid w:val="007C36EF"/>
    <w:rsid w:val="007C4F4C"/>
    <w:rsid w:val="007D0864"/>
    <w:rsid w:val="007D15B5"/>
    <w:rsid w:val="007D16CA"/>
    <w:rsid w:val="007D4A01"/>
    <w:rsid w:val="007D5902"/>
    <w:rsid w:val="007E1F12"/>
    <w:rsid w:val="007E4746"/>
    <w:rsid w:val="007E4C30"/>
    <w:rsid w:val="007F20AE"/>
    <w:rsid w:val="007F217D"/>
    <w:rsid w:val="007F2676"/>
    <w:rsid w:val="007F3F5F"/>
    <w:rsid w:val="007F40B5"/>
    <w:rsid w:val="007F55B5"/>
    <w:rsid w:val="007F5DF8"/>
    <w:rsid w:val="007F687D"/>
    <w:rsid w:val="00800860"/>
    <w:rsid w:val="00802106"/>
    <w:rsid w:val="0080288B"/>
    <w:rsid w:val="008028A4"/>
    <w:rsid w:val="00803E9E"/>
    <w:rsid w:val="00806520"/>
    <w:rsid w:val="00812341"/>
    <w:rsid w:val="00813F26"/>
    <w:rsid w:val="00814F36"/>
    <w:rsid w:val="00816577"/>
    <w:rsid w:val="008176A9"/>
    <w:rsid w:val="008219E7"/>
    <w:rsid w:val="008223CA"/>
    <w:rsid w:val="00822EA1"/>
    <w:rsid w:val="00824769"/>
    <w:rsid w:val="00824F50"/>
    <w:rsid w:val="008278B3"/>
    <w:rsid w:val="00830106"/>
    <w:rsid w:val="0083191E"/>
    <w:rsid w:val="00831E75"/>
    <w:rsid w:val="00832B83"/>
    <w:rsid w:val="00833BE0"/>
    <w:rsid w:val="00833DF7"/>
    <w:rsid w:val="00834E07"/>
    <w:rsid w:val="00835512"/>
    <w:rsid w:val="00835A6C"/>
    <w:rsid w:val="00840916"/>
    <w:rsid w:val="008415DA"/>
    <w:rsid w:val="00843623"/>
    <w:rsid w:val="00843BE3"/>
    <w:rsid w:val="00851D41"/>
    <w:rsid w:val="00853EDD"/>
    <w:rsid w:val="00855058"/>
    <w:rsid w:val="00856D09"/>
    <w:rsid w:val="008603C5"/>
    <w:rsid w:val="008604EE"/>
    <w:rsid w:val="0086053A"/>
    <w:rsid w:val="008607F5"/>
    <w:rsid w:val="00860C30"/>
    <w:rsid w:val="0086349C"/>
    <w:rsid w:val="00865B05"/>
    <w:rsid w:val="00865CE0"/>
    <w:rsid w:val="00870A4C"/>
    <w:rsid w:val="0087401D"/>
    <w:rsid w:val="008768CA"/>
    <w:rsid w:val="00880559"/>
    <w:rsid w:val="008837B1"/>
    <w:rsid w:val="008909C0"/>
    <w:rsid w:val="00891256"/>
    <w:rsid w:val="00893951"/>
    <w:rsid w:val="00894A17"/>
    <w:rsid w:val="00895C32"/>
    <w:rsid w:val="00895EFD"/>
    <w:rsid w:val="008975A9"/>
    <w:rsid w:val="008A3CCF"/>
    <w:rsid w:val="008A4A6A"/>
    <w:rsid w:val="008A727E"/>
    <w:rsid w:val="008A79DE"/>
    <w:rsid w:val="008B0FF3"/>
    <w:rsid w:val="008B1E92"/>
    <w:rsid w:val="008B6DCD"/>
    <w:rsid w:val="008C2835"/>
    <w:rsid w:val="008C490B"/>
    <w:rsid w:val="008C62FA"/>
    <w:rsid w:val="008D46B2"/>
    <w:rsid w:val="008E00B9"/>
    <w:rsid w:val="008E00C5"/>
    <w:rsid w:val="008E0F31"/>
    <w:rsid w:val="008E165A"/>
    <w:rsid w:val="008E248A"/>
    <w:rsid w:val="008E2777"/>
    <w:rsid w:val="008E2EAA"/>
    <w:rsid w:val="008E3A6E"/>
    <w:rsid w:val="008E7B27"/>
    <w:rsid w:val="008F0032"/>
    <w:rsid w:val="008F27C2"/>
    <w:rsid w:val="008F42C9"/>
    <w:rsid w:val="008F4654"/>
    <w:rsid w:val="0090271F"/>
    <w:rsid w:val="00902DA8"/>
    <w:rsid w:val="00903D8C"/>
    <w:rsid w:val="00904A1A"/>
    <w:rsid w:val="00904D26"/>
    <w:rsid w:val="0091194D"/>
    <w:rsid w:val="00912D95"/>
    <w:rsid w:val="00913CA5"/>
    <w:rsid w:val="009149D8"/>
    <w:rsid w:val="00917051"/>
    <w:rsid w:val="00925466"/>
    <w:rsid w:val="00930437"/>
    <w:rsid w:val="009321BB"/>
    <w:rsid w:val="00933EAD"/>
    <w:rsid w:val="00940A05"/>
    <w:rsid w:val="00942640"/>
    <w:rsid w:val="00942EC2"/>
    <w:rsid w:val="00945543"/>
    <w:rsid w:val="00946496"/>
    <w:rsid w:val="00952C37"/>
    <w:rsid w:val="00952D8F"/>
    <w:rsid w:val="00954827"/>
    <w:rsid w:val="00954BCB"/>
    <w:rsid w:val="00957812"/>
    <w:rsid w:val="00960A0E"/>
    <w:rsid w:val="00961B32"/>
    <w:rsid w:val="00964561"/>
    <w:rsid w:val="0096651C"/>
    <w:rsid w:val="00971683"/>
    <w:rsid w:val="00972374"/>
    <w:rsid w:val="00972573"/>
    <w:rsid w:val="00972C42"/>
    <w:rsid w:val="00972FD7"/>
    <w:rsid w:val="009735E7"/>
    <w:rsid w:val="00974323"/>
    <w:rsid w:val="00974BB0"/>
    <w:rsid w:val="009766F7"/>
    <w:rsid w:val="009768D0"/>
    <w:rsid w:val="00977D04"/>
    <w:rsid w:val="0099493D"/>
    <w:rsid w:val="009949AC"/>
    <w:rsid w:val="00994CE9"/>
    <w:rsid w:val="0099791D"/>
    <w:rsid w:val="00997D5B"/>
    <w:rsid w:val="009A1EBF"/>
    <w:rsid w:val="009A3DF0"/>
    <w:rsid w:val="009A4EE0"/>
    <w:rsid w:val="009A5285"/>
    <w:rsid w:val="009A6E4F"/>
    <w:rsid w:val="009A7742"/>
    <w:rsid w:val="009B36EB"/>
    <w:rsid w:val="009B4F59"/>
    <w:rsid w:val="009B6186"/>
    <w:rsid w:val="009C1314"/>
    <w:rsid w:val="009C399C"/>
    <w:rsid w:val="009C3C20"/>
    <w:rsid w:val="009C4D5C"/>
    <w:rsid w:val="009C5263"/>
    <w:rsid w:val="009C7A91"/>
    <w:rsid w:val="009D0A28"/>
    <w:rsid w:val="009D20A0"/>
    <w:rsid w:val="009D265F"/>
    <w:rsid w:val="009D2751"/>
    <w:rsid w:val="009D5824"/>
    <w:rsid w:val="009D59F0"/>
    <w:rsid w:val="009D5EF8"/>
    <w:rsid w:val="009D6A88"/>
    <w:rsid w:val="009E17E2"/>
    <w:rsid w:val="009E4335"/>
    <w:rsid w:val="009E5B97"/>
    <w:rsid w:val="009E67FC"/>
    <w:rsid w:val="009F0198"/>
    <w:rsid w:val="009F3B54"/>
    <w:rsid w:val="009F3E42"/>
    <w:rsid w:val="009F75AB"/>
    <w:rsid w:val="009F7E6E"/>
    <w:rsid w:val="00A00398"/>
    <w:rsid w:val="00A079DA"/>
    <w:rsid w:val="00A10F02"/>
    <w:rsid w:val="00A12228"/>
    <w:rsid w:val="00A12CB6"/>
    <w:rsid w:val="00A1719A"/>
    <w:rsid w:val="00A2199E"/>
    <w:rsid w:val="00A222D2"/>
    <w:rsid w:val="00A23939"/>
    <w:rsid w:val="00A262C3"/>
    <w:rsid w:val="00A269AD"/>
    <w:rsid w:val="00A30FF3"/>
    <w:rsid w:val="00A32E45"/>
    <w:rsid w:val="00A35FAF"/>
    <w:rsid w:val="00A4177D"/>
    <w:rsid w:val="00A4298B"/>
    <w:rsid w:val="00A5027A"/>
    <w:rsid w:val="00A51490"/>
    <w:rsid w:val="00A51948"/>
    <w:rsid w:val="00A53724"/>
    <w:rsid w:val="00A5595D"/>
    <w:rsid w:val="00A55D93"/>
    <w:rsid w:val="00A56D31"/>
    <w:rsid w:val="00A6091C"/>
    <w:rsid w:val="00A61260"/>
    <w:rsid w:val="00A616FE"/>
    <w:rsid w:val="00A61FEF"/>
    <w:rsid w:val="00A62267"/>
    <w:rsid w:val="00A64C87"/>
    <w:rsid w:val="00A71735"/>
    <w:rsid w:val="00A72835"/>
    <w:rsid w:val="00A769E8"/>
    <w:rsid w:val="00A775A6"/>
    <w:rsid w:val="00A776F4"/>
    <w:rsid w:val="00A8006F"/>
    <w:rsid w:val="00A80B02"/>
    <w:rsid w:val="00A82346"/>
    <w:rsid w:val="00A8361A"/>
    <w:rsid w:val="00A8499F"/>
    <w:rsid w:val="00A84E18"/>
    <w:rsid w:val="00A85714"/>
    <w:rsid w:val="00A85DF5"/>
    <w:rsid w:val="00A93693"/>
    <w:rsid w:val="00A95266"/>
    <w:rsid w:val="00A95FE6"/>
    <w:rsid w:val="00A9671C"/>
    <w:rsid w:val="00AA1C04"/>
    <w:rsid w:val="00AA3362"/>
    <w:rsid w:val="00AA44D4"/>
    <w:rsid w:val="00AA56FD"/>
    <w:rsid w:val="00AA634D"/>
    <w:rsid w:val="00AB10D6"/>
    <w:rsid w:val="00AB6AAB"/>
    <w:rsid w:val="00AC06CD"/>
    <w:rsid w:val="00AC5AC1"/>
    <w:rsid w:val="00AD15E7"/>
    <w:rsid w:val="00AD2DD3"/>
    <w:rsid w:val="00AD4755"/>
    <w:rsid w:val="00AD4BCF"/>
    <w:rsid w:val="00AD50CD"/>
    <w:rsid w:val="00AD6518"/>
    <w:rsid w:val="00AD6688"/>
    <w:rsid w:val="00AE3A40"/>
    <w:rsid w:val="00AE725C"/>
    <w:rsid w:val="00AE7689"/>
    <w:rsid w:val="00AE7FEC"/>
    <w:rsid w:val="00AF0C11"/>
    <w:rsid w:val="00AF11DF"/>
    <w:rsid w:val="00AF2BD9"/>
    <w:rsid w:val="00AF3779"/>
    <w:rsid w:val="00AF4A8E"/>
    <w:rsid w:val="00AF4C5F"/>
    <w:rsid w:val="00AF54F7"/>
    <w:rsid w:val="00AF78D5"/>
    <w:rsid w:val="00B03810"/>
    <w:rsid w:val="00B05ACF"/>
    <w:rsid w:val="00B065EB"/>
    <w:rsid w:val="00B10237"/>
    <w:rsid w:val="00B1063A"/>
    <w:rsid w:val="00B13F72"/>
    <w:rsid w:val="00B15449"/>
    <w:rsid w:val="00B21B91"/>
    <w:rsid w:val="00B22642"/>
    <w:rsid w:val="00B2369B"/>
    <w:rsid w:val="00B26B3F"/>
    <w:rsid w:val="00B33ED9"/>
    <w:rsid w:val="00B40CE9"/>
    <w:rsid w:val="00B4119B"/>
    <w:rsid w:val="00B41851"/>
    <w:rsid w:val="00B41F92"/>
    <w:rsid w:val="00B42422"/>
    <w:rsid w:val="00B458C0"/>
    <w:rsid w:val="00B47A08"/>
    <w:rsid w:val="00B503D9"/>
    <w:rsid w:val="00B54199"/>
    <w:rsid w:val="00B56DD9"/>
    <w:rsid w:val="00B64258"/>
    <w:rsid w:val="00B66B9D"/>
    <w:rsid w:val="00B6745D"/>
    <w:rsid w:val="00B72816"/>
    <w:rsid w:val="00B73C17"/>
    <w:rsid w:val="00B73E64"/>
    <w:rsid w:val="00B7625F"/>
    <w:rsid w:val="00B8066D"/>
    <w:rsid w:val="00B8569C"/>
    <w:rsid w:val="00B87D47"/>
    <w:rsid w:val="00B91C8F"/>
    <w:rsid w:val="00B936A4"/>
    <w:rsid w:val="00B93CC9"/>
    <w:rsid w:val="00B95035"/>
    <w:rsid w:val="00B9515E"/>
    <w:rsid w:val="00B967DC"/>
    <w:rsid w:val="00B9775D"/>
    <w:rsid w:val="00B9781E"/>
    <w:rsid w:val="00BA10CA"/>
    <w:rsid w:val="00BA15B0"/>
    <w:rsid w:val="00BA3B72"/>
    <w:rsid w:val="00BA6755"/>
    <w:rsid w:val="00BA7BA8"/>
    <w:rsid w:val="00BB04D5"/>
    <w:rsid w:val="00BB1857"/>
    <w:rsid w:val="00BB188A"/>
    <w:rsid w:val="00BB5499"/>
    <w:rsid w:val="00BB59FF"/>
    <w:rsid w:val="00BB64A3"/>
    <w:rsid w:val="00BC17FE"/>
    <w:rsid w:val="00BC4E0C"/>
    <w:rsid w:val="00BC73D3"/>
    <w:rsid w:val="00BD5F05"/>
    <w:rsid w:val="00BE06C0"/>
    <w:rsid w:val="00BE6617"/>
    <w:rsid w:val="00BE77CE"/>
    <w:rsid w:val="00BE7F3D"/>
    <w:rsid w:val="00BF10A4"/>
    <w:rsid w:val="00BF2C4D"/>
    <w:rsid w:val="00BF5DDA"/>
    <w:rsid w:val="00BF79F1"/>
    <w:rsid w:val="00BF7AC9"/>
    <w:rsid w:val="00C0120E"/>
    <w:rsid w:val="00C03035"/>
    <w:rsid w:val="00C03D0F"/>
    <w:rsid w:val="00C07243"/>
    <w:rsid w:val="00C11B37"/>
    <w:rsid w:val="00C156AF"/>
    <w:rsid w:val="00C275BC"/>
    <w:rsid w:val="00C33079"/>
    <w:rsid w:val="00C365F1"/>
    <w:rsid w:val="00C37C9E"/>
    <w:rsid w:val="00C42279"/>
    <w:rsid w:val="00C43B31"/>
    <w:rsid w:val="00C4631C"/>
    <w:rsid w:val="00C47FA8"/>
    <w:rsid w:val="00C50536"/>
    <w:rsid w:val="00C536FD"/>
    <w:rsid w:val="00C545DF"/>
    <w:rsid w:val="00C548C8"/>
    <w:rsid w:val="00C54C51"/>
    <w:rsid w:val="00C55EB7"/>
    <w:rsid w:val="00C62AFE"/>
    <w:rsid w:val="00C7676D"/>
    <w:rsid w:val="00C805B8"/>
    <w:rsid w:val="00C83885"/>
    <w:rsid w:val="00C85FFB"/>
    <w:rsid w:val="00C866E9"/>
    <w:rsid w:val="00C87D8A"/>
    <w:rsid w:val="00C902F5"/>
    <w:rsid w:val="00C903AC"/>
    <w:rsid w:val="00C919AC"/>
    <w:rsid w:val="00C93190"/>
    <w:rsid w:val="00CA276C"/>
    <w:rsid w:val="00CA2E91"/>
    <w:rsid w:val="00CA3D0C"/>
    <w:rsid w:val="00CA60F2"/>
    <w:rsid w:val="00CA6E7F"/>
    <w:rsid w:val="00CB3C00"/>
    <w:rsid w:val="00CB5531"/>
    <w:rsid w:val="00CB6651"/>
    <w:rsid w:val="00CB6887"/>
    <w:rsid w:val="00CC1D11"/>
    <w:rsid w:val="00CC1F8B"/>
    <w:rsid w:val="00CC2782"/>
    <w:rsid w:val="00CC2FEB"/>
    <w:rsid w:val="00CC64B4"/>
    <w:rsid w:val="00CC7E5D"/>
    <w:rsid w:val="00CD09EE"/>
    <w:rsid w:val="00CD41C2"/>
    <w:rsid w:val="00CD4C7B"/>
    <w:rsid w:val="00CD6529"/>
    <w:rsid w:val="00CD6D5F"/>
    <w:rsid w:val="00CE209B"/>
    <w:rsid w:val="00CE4C5E"/>
    <w:rsid w:val="00CE72F9"/>
    <w:rsid w:val="00CF000E"/>
    <w:rsid w:val="00CF4F18"/>
    <w:rsid w:val="00CF4F3D"/>
    <w:rsid w:val="00CF56F9"/>
    <w:rsid w:val="00D0362F"/>
    <w:rsid w:val="00D052B0"/>
    <w:rsid w:val="00D05628"/>
    <w:rsid w:val="00D05745"/>
    <w:rsid w:val="00D062E7"/>
    <w:rsid w:val="00D072EA"/>
    <w:rsid w:val="00D122B9"/>
    <w:rsid w:val="00D16505"/>
    <w:rsid w:val="00D22038"/>
    <w:rsid w:val="00D23014"/>
    <w:rsid w:val="00D31E29"/>
    <w:rsid w:val="00D32605"/>
    <w:rsid w:val="00D34A99"/>
    <w:rsid w:val="00D34F04"/>
    <w:rsid w:val="00D37B14"/>
    <w:rsid w:val="00D42780"/>
    <w:rsid w:val="00D42E06"/>
    <w:rsid w:val="00D435B1"/>
    <w:rsid w:val="00D45717"/>
    <w:rsid w:val="00D45D1F"/>
    <w:rsid w:val="00D470EA"/>
    <w:rsid w:val="00D502B2"/>
    <w:rsid w:val="00D52237"/>
    <w:rsid w:val="00D52F51"/>
    <w:rsid w:val="00D5638E"/>
    <w:rsid w:val="00D563CF"/>
    <w:rsid w:val="00D57BF3"/>
    <w:rsid w:val="00D61459"/>
    <w:rsid w:val="00D63909"/>
    <w:rsid w:val="00D6498C"/>
    <w:rsid w:val="00D66E3A"/>
    <w:rsid w:val="00D67320"/>
    <w:rsid w:val="00D70C3A"/>
    <w:rsid w:val="00D72D5B"/>
    <w:rsid w:val="00D738D6"/>
    <w:rsid w:val="00D73D5E"/>
    <w:rsid w:val="00D74A0E"/>
    <w:rsid w:val="00D764AE"/>
    <w:rsid w:val="00D80795"/>
    <w:rsid w:val="00D80BE8"/>
    <w:rsid w:val="00D813B0"/>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679"/>
    <w:rsid w:val="00DB6F28"/>
    <w:rsid w:val="00DC1445"/>
    <w:rsid w:val="00DC29DA"/>
    <w:rsid w:val="00DC309B"/>
    <w:rsid w:val="00DC4DA2"/>
    <w:rsid w:val="00DC5B59"/>
    <w:rsid w:val="00DD2FDC"/>
    <w:rsid w:val="00DD4AB9"/>
    <w:rsid w:val="00DE0E83"/>
    <w:rsid w:val="00DE1406"/>
    <w:rsid w:val="00DE4FCC"/>
    <w:rsid w:val="00E0084C"/>
    <w:rsid w:val="00E00C58"/>
    <w:rsid w:val="00E041C5"/>
    <w:rsid w:val="00E07838"/>
    <w:rsid w:val="00E137EB"/>
    <w:rsid w:val="00E27B9F"/>
    <w:rsid w:val="00E305A4"/>
    <w:rsid w:val="00E31284"/>
    <w:rsid w:val="00E3309B"/>
    <w:rsid w:val="00E338DA"/>
    <w:rsid w:val="00E339C5"/>
    <w:rsid w:val="00E33CCE"/>
    <w:rsid w:val="00E340BC"/>
    <w:rsid w:val="00E35648"/>
    <w:rsid w:val="00E37501"/>
    <w:rsid w:val="00E408E3"/>
    <w:rsid w:val="00E477A3"/>
    <w:rsid w:val="00E47C0C"/>
    <w:rsid w:val="00E51135"/>
    <w:rsid w:val="00E51F8B"/>
    <w:rsid w:val="00E52E91"/>
    <w:rsid w:val="00E54C32"/>
    <w:rsid w:val="00E56448"/>
    <w:rsid w:val="00E609E0"/>
    <w:rsid w:val="00E62835"/>
    <w:rsid w:val="00E67147"/>
    <w:rsid w:val="00E70688"/>
    <w:rsid w:val="00E70CC4"/>
    <w:rsid w:val="00E77645"/>
    <w:rsid w:val="00E826F3"/>
    <w:rsid w:val="00E850C1"/>
    <w:rsid w:val="00E852FF"/>
    <w:rsid w:val="00E90ABE"/>
    <w:rsid w:val="00E93CA6"/>
    <w:rsid w:val="00E965C2"/>
    <w:rsid w:val="00EA0DB9"/>
    <w:rsid w:val="00EA1D56"/>
    <w:rsid w:val="00EA22F8"/>
    <w:rsid w:val="00EB065D"/>
    <w:rsid w:val="00EB1B5A"/>
    <w:rsid w:val="00EB2914"/>
    <w:rsid w:val="00EB5ADE"/>
    <w:rsid w:val="00EC125A"/>
    <w:rsid w:val="00EC20E5"/>
    <w:rsid w:val="00EC4A25"/>
    <w:rsid w:val="00EC7411"/>
    <w:rsid w:val="00ED0443"/>
    <w:rsid w:val="00ED06A6"/>
    <w:rsid w:val="00ED0D91"/>
    <w:rsid w:val="00ED1751"/>
    <w:rsid w:val="00ED4BEE"/>
    <w:rsid w:val="00ED7F72"/>
    <w:rsid w:val="00EE022B"/>
    <w:rsid w:val="00EE0A1E"/>
    <w:rsid w:val="00EE34A4"/>
    <w:rsid w:val="00EE4490"/>
    <w:rsid w:val="00EE7872"/>
    <w:rsid w:val="00EF2DFA"/>
    <w:rsid w:val="00F01BC8"/>
    <w:rsid w:val="00F025A2"/>
    <w:rsid w:val="00F0718F"/>
    <w:rsid w:val="00F07F33"/>
    <w:rsid w:val="00F10EA3"/>
    <w:rsid w:val="00F125B8"/>
    <w:rsid w:val="00F15260"/>
    <w:rsid w:val="00F15931"/>
    <w:rsid w:val="00F2026E"/>
    <w:rsid w:val="00F21221"/>
    <w:rsid w:val="00F2210A"/>
    <w:rsid w:val="00F24B08"/>
    <w:rsid w:val="00F33F9F"/>
    <w:rsid w:val="00F35C58"/>
    <w:rsid w:val="00F37743"/>
    <w:rsid w:val="00F40316"/>
    <w:rsid w:val="00F40CD3"/>
    <w:rsid w:val="00F45C3E"/>
    <w:rsid w:val="00F463B5"/>
    <w:rsid w:val="00F503B7"/>
    <w:rsid w:val="00F50C7A"/>
    <w:rsid w:val="00F51625"/>
    <w:rsid w:val="00F52B14"/>
    <w:rsid w:val="00F54114"/>
    <w:rsid w:val="00F54A3D"/>
    <w:rsid w:val="00F569B1"/>
    <w:rsid w:val="00F57589"/>
    <w:rsid w:val="00F57CB2"/>
    <w:rsid w:val="00F63AE1"/>
    <w:rsid w:val="00F652C7"/>
    <w:rsid w:val="00F653B8"/>
    <w:rsid w:val="00F67743"/>
    <w:rsid w:val="00F702C6"/>
    <w:rsid w:val="00F71331"/>
    <w:rsid w:val="00F7148E"/>
    <w:rsid w:val="00F75559"/>
    <w:rsid w:val="00F76F8F"/>
    <w:rsid w:val="00F96AC6"/>
    <w:rsid w:val="00FA1266"/>
    <w:rsid w:val="00FA189A"/>
    <w:rsid w:val="00FA28FD"/>
    <w:rsid w:val="00FA2AEF"/>
    <w:rsid w:val="00FA37A3"/>
    <w:rsid w:val="00FA4FF6"/>
    <w:rsid w:val="00FA54D1"/>
    <w:rsid w:val="00FA5EEC"/>
    <w:rsid w:val="00FB0324"/>
    <w:rsid w:val="00FB2BEA"/>
    <w:rsid w:val="00FB3946"/>
    <w:rsid w:val="00FB3D12"/>
    <w:rsid w:val="00FB47D3"/>
    <w:rsid w:val="00FB7756"/>
    <w:rsid w:val="00FB7889"/>
    <w:rsid w:val="00FC0302"/>
    <w:rsid w:val="00FC1192"/>
    <w:rsid w:val="00FC1F50"/>
    <w:rsid w:val="00FC2074"/>
    <w:rsid w:val="00FC35AB"/>
    <w:rsid w:val="00FC4E4D"/>
    <w:rsid w:val="00FC53BF"/>
    <w:rsid w:val="00FC6713"/>
    <w:rsid w:val="00FE170C"/>
    <w:rsid w:val="00FE2BEB"/>
    <w:rsid w:val="00FE44C5"/>
    <w:rsid w:val="00FE78A9"/>
    <w:rsid w:val="00FF0D57"/>
    <w:rsid w:val="00FF1248"/>
    <w:rsid w:val="00FF4BAA"/>
    <w:rsid w:val="00FF75A6"/>
    <w:rsid w:val="00FF7BCD"/>
    <w:rsid w:val="01DC30B2"/>
    <w:rsid w:val="08526D7D"/>
    <w:rsid w:val="0C0C1F1E"/>
    <w:rsid w:val="11BD21F5"/>
    <w:rsid w:val="1318579D"/>
    <w:rsid w:val="14A41E96"/>
    <w:rsid w:val="1B32454F"/>
    <w:rsid w:val="1E115AAE"/>
    <w:rsid w:val="1FBA3A90"/>
    <w:rsid w:val="26240943"/>
    <w:rsid w:val="39E134E5"/>
    <w:rsid w:val="3A405533"/>
    <w:rsid w:val="40792603"/>
    <w:rsid w:val="41171FD0"/>
    <w:rsid w:val="44113BA0"/>
    <w:rsid w:val="44E450E4"/>
    <w:rsid w:val="49FE1F7F"/>
    <w:rsid w:val="4AA513F9"/>
    <w:rsid w:val="57AB43F8"/>
    <w:rsid w:val="590C6CB9"/>
    <w:rsid w:val="5C1338E2"/>
    <w:rsid w:val="5CF92AC7"/>
    <w:rsid w:val="5D20712A"/>
    <w:rsid w:val="5D4C7F98"/>
    <w:rsid w:val="5F90142C"/>
    <w:rsid w:val="6ED53F5A"/>
    <w:rsid w:val="71A2798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59"/>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97"/>
    <w:qFormat/>
    <w:uiPriority w:val="0"/>
    <w:pPr>
      <w:ind w:left="568" w:hanging="284"/>
    </w:pPr>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table" w:customStyle="1" w:styleId="162">
    <w:name w:val="网格型1"/>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
    <w:name w:val="网格型2"/>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
    <w:name w:val="网格型3"/>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
    <w:name w:val="网格型4"/>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WW8Num22z0"/>
    <w:qFormat/>
    <w:uiPriority w:val="0"/>
    <w:rPr>
      <w:rFonts w:hint="default" w:ascii="Calibri" w:hAnsi="Calibri" w:eastAsia="Calibri" w:cs="Times New Roman"/>
      <w:color w:val="FF0000"/>
    </w:rPr>
  </w:style>
  <w:style w:type="paragraph" w:customStyle="1" w:styleId="167">
    <w:name w:val="List Paragraph4"/>
    <w:basedOn w:val="1"/>
    <w:qFormat/>
    <w:uiPriority w:val="0"/>
    <w:pPr>
      <w:overflowPunct w:val="0"/>
      <w:autoSpaceDE w:val="0"/>
      <w:autoSpaceDN w:val="0"/>
      <w:adjustRightInd w:val="0"/>
      <w:spacing w:before="100" w:beforeAutospacing="1"/>
      <w:ind w:left="720"/>
      <w:contextualSpacing/>
      <w:textAlignment w:val="baseline"/>
    </w:pPr>
    <w:rPr>
      <w:sz w:val="24"/>
      <w:szCs w:val="24"/>
      <w:lang w:val="en-US" w:eastAsia="zh-CN"/>
    </w:rPr>
  </w:style>
  <w:style w:type="table" w:customStyle="1" w:styleId="168">
    <w:name w:val="Table Grid1"/>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9">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Malgun Gothic" w:cs="Times New Roman"/>
      <w:sz w:val="24"/>
      <w:szCs w:val="24"/>
      <w:lang w:val="en-US" w:eastAsia="zh-CN" w:bidi="ar-SA"/>
    </w:rPr>
  </w:style>
  <w:style w:type="paragraph" w:customStyle="1" w:styleId="170">
    <w:name w:val="标题 41"/>
    <w:basedOn w:val="1"/>
    <w:next w:val="169"/>
    <w:qFormat/>
    <w:uiPriority w:val="0"/>
    <w:pPr>
      <w:keepNext/>
      <w:keepLines/>
      <w:widowControl w:val="0"/>
      <w:overflowPunct w:val="0"/>
      <w:autoSpaceDE w:val="0"/>
      <w:autoSpaceDN w:val="0"/>
      <w:adjustRightInd w:val="0"/>
      <w:spacing w:before="120"/>
      <w:ind w:left="1418" w:hanging="1418"/>
      <w:textAlignment w:val="baseline"/>
      <w:outlineLvl w:val="3"/>
    </w:pPr>
    <w:rPr>
      <w:rFonts w:ascii="Arial" w:hAnsi="Arial" w:eastAsia="Malgun Gothic"/>
      <w:sz w:val="24"/>
      <w:szCs w:val="24"/>
      <w:lang w:val="en-US" w:eastAsia="zh-CN"/>
    </w:rPr>
  </w:style>
  <w:style w:type="table" w:customStyle="1" w:styleId="17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72">
    <w:name w:val="Revision2"/>
    <w:hidden/>
    <w:unhideWhenUsed/>
    <w:qFormat/>
    <w:uiPriority w:val="99"/>
    <w:rPr>
      <w:rFonts w:ascii="Times New Roman" w:hAnsi="Times New Roman" w:eastAsia="宋体" w:cs="Times New Roman"/>
      <w:lang w:val="en-GB" w:eastAsia="en-US" w:bidi="ar-SA"/>
    </w:rPr>
  </w:style>
  <w:style w:type="character" w:customStyle="1" w:styleId="173">
    <w:name w:val="Mention1"/>
    <w:basedOn w:val="47"/>
    <w:unhideWhenUsed/>
    <w:qFormat/>
    <w:uiPriority w:val="99"/>
    <w:rPr>
      <w:color w:val="2B579A"/>
      <w:shd w:val="clear" w:color="auto" w:fill="E1DFDD"/>
    </w:rPr>
  </w:style>
  <w:style w:type="paragraph" w:customStyle="1" w:styleId="174">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175">
    <w:name w:val="普通表格2"/>
    <w:semiHidden/>
    <w:qFormat/>
    <w:uiPriority w:val="0"/>
    <w:rPr>
      <w:rFonts w:eastAsia="Times New Roman"/>
    </w:rPr>
    <w:tblPr>
      <w:tblCellMar>
        <w:top w:w="0" w:type="dxa"/>
        <w:left w:w="108" w:type="dxa"/>
        <w:bottom w:w="0" w:type="dxa"/>
        <w:right w:w="108" w:type="dxa"/>
      </w:tblCellMar>
    </w:tblPr>
  </w:style>
  <w:style w:type="table" w:customStyle="1" w:styleId="176">
    <w:name w:val="Table Normal1"/>
    <w:basedOn w:val="45"/>
    <w:semiHidden/>
    <w:qFormat/>
    <w:uiPriority w:val="0"/>
    <w:rPr>
      <w:rFonts w:hint="eastAsia" w:cs="等线"/>
      <w:kern w:val="2"/>
      <w:sz w:val="21"/>
      <w:szCs w:val="22"/>
    </w:rPr>
  </w:style>
  <w:style w:type="paragraph" w:customStyle="1" w:styleId="177">
    <w:name w:val="Obs-prop"/>
    <w:basedOn w:val="1"/>
    <w:next w:val="1"/>
    <w:qFormat/>
    <w:uiPriority w:val="0"/>
    <w:pPr>
      <w:spacing w:after="160"/>
    </w:pPr>
    <w:rPr>
      <w:rFonts w:eastAsiaTheme="minorHAnsi" w:cstheme="minorBidi"/>
      <w:b/>
      <w:bCs/>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42459B-BAB8-45B5-BCB8-EE025C8BCFDC}">
  <ds:schemaRefs/>
</ds:datastoreItem>
</file>

<file path=customXml/itemProps2.xml><?xml version="1.0" encoding="utf-8"?>
<ds:datastoreItem xmlns:ds="http://schemas.openxmlformats.org/officeDocument/2006/customXml" ds:itemID="{3B8D6E7B-14F7-49DD-B0A0-146AE21CB600}">
  <ds:schemaRefs/>
</ds:datastoreItem>
</file>

<file path=customXml/itemProps3.xml><?xml version="1.0" encoding="utf-8"?>
<ds:datastoreItem xmlns:ds="http://schemas.openxmlformats.org/officeDocument/2006/customXml" ds:itemID="{42B87A3C-D078-499A-8CB8-F5EFCA890BC8}">
  <ds:schemaRefs/>
</ds:datastoreItem>
</file>

<file path=customXml/itemProps4.xml><?xml version="1.0" encoding="utf-8"?>
<ds:datastoreItem xmlns:ds="http://schemas.openxmlformats.org/officeDocument/2006/customXml" ds:itemID="{CAEBA194-40F6-4832-9A5A-388E0C658A9B}">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4</Pages>
  <Words>1573</Words>
  <Characters>8469</Characters>
  <Lines>73</Lines>
  <Paragraphs>20</Paragraphs>
  <TotalTime>0</TotalTime>
  <ScaleCrop>false</ScaleCrop>
  <LinksUpToDate>false</LinksUpToDate>
  <CharactersWithSpaces>9957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2025-03-26T08:05:00Z</dcterms:created>
  <dc:creator>Xiaomi-Lisi</dc:creator>
  <cp:lastModifiedBy>Lisi</cp:lastModifiedBy>
  <dcterms:modified xsi:type="dcterms:W3CDTF">2025-05-09T05:01:49Z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5506c507e4211ef8000455400004454">
    <vt:lpwstr>CWMcxYrFieGRYoE5T2oKuPDKb1by+RuHOpjf1hf197vPs410h2zT0bAexpkSYDIijSp</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2052-12.1.0.20784</vt:lpwstr>
  </property>
  <property fmtid="{D5CDD505-2E9C-101B-9397-08002B2CF9AE}" pid="6" name="ICV">
    <vt:lpwstr>8D2434BB8D1D4D24BDDDEB4C1BAD52CB_13</vt:lpwstr>
  </property>
  <property fmtid="{D5CDD505-2E9C-101B-9397-08002B2CF9AE}" pid="7" name="ContentTypeId">
    <vt:lpwstr>0x010100F3E9551B3FDDA24EBF0A209BAAD637CA</vt:lpwstr>
  </property>
  <property fmtid="{D5CDD505-2E9C-101B-9397-08002B2CF9AE}" pid="8" name="MediaServiceImageTags">
    <vt:lpwstr/>
  </property>
  <property fmtid="{D5CDD505-2E9C-101B-9397-08002B2CF9AE}" pid="9" name="CWM69360b302b2111f08000193a0000193a">
    <vt:lpwstr>CWM5h7SDUKeVeMFxSl1fWyHlSFHsUNzUjS4Gm16QTSbyyLxoA61HluACB/mKOvQKXCz+gzT7K39dda+ZLAOMDzbTw==</vt:lpwstr>
  </property>
  <property fmtid="{D5CDD505-2E9C-101B-9397-08002B2CF9AE}" pid="10" name="CWM16d756702b2911f0800041de000040de">
    <vt:lpwstr>CWMhuQO/byawHj8J8n3XclNaP+dGuxF8zyrMJmhMfAN1y0ivqy1/0Q3pXfQBzKcTkuTvnoBgMryztZgEoMDHuQENA==</vt:lpwstr>
  </property>
  <property fmtid="{D5CDD505-2E9C-101B-9397-08002B2CF9AE}" pid="11" name="CWM3c4e4a302bc911f080001f7800001f78">
    <vt:lpwstr>CWMrbI/np4nqpfsBb0BgZSpFDLFkeR4cyVI/YyGtkqnnxiAEm3rn8mQ3o5YVh/qZHR+0hTXfO3BF5TPA82pSBXd0A==</vt:lpwstr>
  </property>
</Properties>
</file>